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66"/>
        <w:gridCol w:w="3524"/>
        <w:gridCol w:w="3994"/>
      </w:tblGrid>
      <w:tr w:rsidR="00C64ACA" w:rsidRPr="00C31353" w:rsidTr="00251E73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A" w:rsidRPr="00C31353" w:rsidRDefault="00C64ACA" w:rsidP="00251E73">
            <w:pPr>
              <w:jc w:val="center"/>
              <w:rPr>
                <w:lang w:val="id-ID"/>
              </w:rPr>
            </w:pPr>
            <w:r w:rsidRPr="00C31353">
              <w:rPr>
                <w:rFonts w:eastAsia="Arial"/>
                <w:noProof/>
                <w:lang w:val="id-ID" w:eastAsia="id-ID"/>
              </w:rPr>
              <w:drawing>
                <wp:inline distT="0" distB="0" distL="0" distR="0" wp14:anchorId="37F02B4D" wp14:editId="13BA07D6">
                  <wp:extent cx="1229995" cy="1110615"/>
                  <wp:effectExtent l="0" t="0" r="8255" b="0"/>
                  <wp:docPr id="38" name="Picture 38" descr="IMG_20160314_14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160314_14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A" w:rsidRPr="00C31353" w:rsidRDefault="00C64ACA" w:rsidP="00BA0222">
            <w:pPr>
              <w:jc w:val="center"/>
              <w:rPr>
                <w:b/>
                <w:lang w:val="id-ID"/>
              </w:rPr>
            </w:pPr>
            <w:r w:rsidRPr="00C31353">
              <w:rPr>
                <w:b/>
                <w:lang w:val="id-ID"/>
              </w:rPr>
              <w:t xml:space="preserve">FORMULIR BAGAN ALUR CARA KERJA PRAKTIKUM </w:t>
            </w:r>
            <w:r w:rsidR="00BA0222">
              <w:rPr>
                <w:b/>
              </w:rPr>
              <w:t>KBB</w:t>
            </w:r>
            <w:r w:rsidRPr="00C31353">
              <w:rPr>
                <w:b/>
                <w:lang w:val="id-ID"/>
              </w:rPr>
              <w:t xml:space="preserve"> PRODI PROFESI BIDAN FAKULTAS ILMU KESEHATAN UNIVERSITAS </w:t>
            </w:r>
            <w:r>
              <w:rPr>
                <w:b/>
                <w:lang w:val="id-ID"/>
              </w:rPr>
              <w:t>‘ASYIYAH</w:t>
            </w:r>
            <w:r w:rsidRPr="00C31353">
              <w:rPr>
                <w:b/>
                <w:lang w:val="id-ID"/>
              </w:rPr>
              <w:t xml:space="preserve"> YOGYAKARTA</w:t>
            </w:r>
          </w:p>
        </w:tc>
      </w:tr>
      <w:tr w:rsidR="00C64ACA" w:rsidRPr="00C31353" w:rsidTr="00251E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A" w:rsidRPr="00C31353" w:rsidRDefault="00C64ACA" w:rsidP="00251E73">
            <w:pPr>
              <w:rPr>
                <w:lang w:val="id-ID" w:eastAsia="ja-JP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A" w:rsidRPr="00C31353" w:rsidRDefault="00C64ACA" w:rsidP="00251E73">
            <w:pPr>
              <w:rPr>
                <w:b/>
                <w:lang w:val="id-ID"/>
              </w:rPr>
            </w:pPr>
            <w:r w:rsidRPr="00C31353">
              <w:rPr>
                <w:b/>
                <w:lang w:val="id-ID"/>
              </w:rPr>
              <w:t>NAMA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A" w:rsidRPr="00C31353" w:rsidRDefault="00BD4E5A" w:rsidP="00251E73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Naura Syahida Masyitoh </w:t>
            </w:r>
          </w:p>
        </w:tc>
      </w:tr>
      <w:tr w:rsidR="00C64ACA" w:rsidRPr="00C31353" w:rsidTr="00251E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A" w:rsidRPr="00C31353" w:rsidRDefault="00C64ACA" w:rsidP="00251E73">
            <w:pPr>
              <w:rPr>
                <w:lang w:val="id-ID" w:eastAsia="ja-JP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A" w:rsidRPr="00C31353" w:rsidRDefault="00C64ACA" w:rsidP="00251E73">
            <w:pPr>
              <w:rPr>
                <w:b/>
                <w:lang w:val="id-ID"/>
              </w:rPr>
            </w:pPr>
            <w:r w:rsidRPr="00C31353">
              <w:rPr>
                <w:b/>
                <w:lang w:val="id-ID"/>
              </w:rPr>
              <w:t>NIM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A" w:rsidRPr="00C31353" w:rsidRDefault="00BD4E5A" w:rsidP="00251E73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2010101072</w:t>
            </w:r>
          </w:p>
        </w:tc>
      </w:tr>
      <w:tr w:rsidR="00C64ACA" w:rsidRPr="00C31353" w:rsidTr="00251E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A" w:rsidRPr="00C31353" w:rsidRDefault="00C64ACA" w:rsidP="00251E73">
            <w:pPr>
              <w:rPr>
                <w:lang w:val="id-ID" w:eastAsia="ja-JP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A" w:rsidRPr="00C31353" w:rsidRDefault="00C64ACA" w:rsidP="00251E73">
            <w:pPr>
              <w:rPr>
                <w:b/>
                <w:lang w:val="id-ID"/>
              </w:rPr>
            </w:pPr>
            <w:r w:rsidRPr="00C31353">
              <w:rPr>
                <w:b/>
                <w:lang w:val="id-ID"/>
              </w:rPr>
              <w:t>KELAS/KELOMPOK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A" w:rsidRPr="00C31353" w:rsidRDefault="00BD4E5A" w:rsidP="00251E73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A5/matahari 3</w:t>
            </w:r>
          </w:p>
        </w:tc>
      </w:tr>
      <w:tr w:rsidR="00C64ACA" w:rsidRPr="00C31353" w:rsidTr="00251E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A" w:rsidRPr="00C31353" w:rsidRDefault="00C64ACA" w:rsidP="00251E73">
            <w:pPr>
              <w:rPr>
                <w:lang w:val="id-ID" w:eastAsia="ja-JP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A" w:rsidRPr="00C31353" w:rsidRDefault="00C64ACA" w:rsidP="00251E73">
            <w:pPr>
              <w:rPr>
                <w:b/>
                <w:lang w:val="id-ID"/>
              </w:rPr>
            </w:pPr>
            <w:r w:rsidRPr="00C31353">
              <w:rPr>
                <w:b/>
                <w:lang w:val="id-ID"/>
              </w:rPr>
              <w:t>JUDUL PRAKTIKUM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A" w:rsidRPr="00C31353" w:rsidRDefault="00C64ACA" w:rsidP="00251E73">
            <w:pPr>
              <w:rPr>
                <w:b/>
              </w:rPr>
            </w:pPr>
            <w:proofErr w:type="spellStart"/>
            <w:r>
              <w:rPr>
                <w:b/>
              </w:rPr>
              <w:t>Penerapan</w:t>
            </w:r>
            <w:proofErr w:type="spellEnd"/>
            <w:r>
              <w:rPr>
                <w:b/>
              </w:rPr>
              <w:t xml:space="preserve"> EBM di Indonesia</w:t>
            </w:r>
          </w:p>
          <w:p w:rsidR="00C64ACA" w:rsidRPr="00C31353" w:rsidRDefault="00C64ACA" w:rsidP="00251E73">
            <w:pPr>
              <w:rPr>
                <w:b/>
                <w:lang w:val="id-ID"/>
              </w:rPr>
            </w:pPr>
          </w:p>
        </w:tc>
      </w:tr>
      <w:tr w:rsidR="005E0125" w:rsidRPr="00C31353" w:rsidTr="00251E7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5" w:rsidRPr="00C31353" w:rsidRDefault="005E0125" w:rsidP="008D47BB">
            <w:pPr>
              <w:snapToGrid w:val="0"/>
              <w:jc w:val="both"/>
              <w:rPr>
                <w:bCs/>
                <w:lang w:val="sv-SE"/>
              </w:rPr>
            </w:pPr>
            <w:proofErr w:type="spellStart"/>
            <w:r w:rsidRPr="00C31353">
              <w:t>Analisis</w:t>
            </w:r>
            <w:proofErr w:type="spellEnd"/>
            <w:r w:rsidRPr="00C31353">
              <w:t xml:space="preserve"> </w:t>
            </w:r>
            <w:proofErr w:type="spellStart"/>
            <w:r w:rsidRPr="00C31353">
              <w:t>jurnal</w:t>
            </w:r>
            <w:proofErr w:type="spellEnd"/>
            <w:r w:rsidRPr="00C31353">
              <w:t xml:space="preserve"> women center</w:t>
            </w:r>
            <w:r>
              <w:t>ed</w:t>
            </w:r>
            <w:r w:rsidRPr="00C31353">
              <w:t xml:space="preserve"> </w:t>
            </w:r>
            <w:r>
              <w:t>care</w:t>
            </w:r>
          </w:p>
          <w:p w:rsidR="005E0125" w:rsidRPr="00C31353" w:rsidRDefault="005E0125" w:rsidP="008D47BB">
            <w:pPr>
              <w:suppressAutoHyphens w:val="0"/>
              <w:spacing w:after="160" w:line="259" w:lineRule="auto"/>
              <w:ind w:firstLine="360"/>
              <w:contextualSpacing/>
              <w:jc w:val="both"/>
            </w:pPr>
          </w:p>
          <w:p w:rsidR="005E0125" w:rsidRDefault="005E0125" w:rsidP="008D47BB"/>
          <w:p w:rsidR="005E0125" w:rsidRDefault="005E0125" w:rsidP="008D47BB"/>
          <w:p w:rsidR="005E0125" w:rsidRDefault="005E0125" w:rsidP="008D47BB"/>
          <w:p w:rsidR="005E0125" w:rsidRDefault="005E0125" w:rsidP="008D47BB"/>
          <w:p w:rsidR="005E0125" w:rsidRPr="00C31353" w:rsidRDefault="005E0125" w:rsidP="008D47BB"/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25" w:rsidRPr="00C31353" w:rsidRDefault="005E0125" w:rsidP="00251E73">
            <w:pPr>
              <w:rPr>
                <w:lang w:val="id-ID"/>
              </w:rPr>
            </w:pPr>
          </w:p>
          <w:p w:rsidR="005E0125" w:rsidRPr="00865F9A" w:rsidRDefault="005E0125" w:rsidP="00251E73">
            <w:pPr>
              <w:rPr>
                <w:lang w:val="id-ID"/>
              </w:rPr>
            </w:pPr>
          </w:p>
          <w:p w:rsidR="00865F9A" w:rsidRDefault="00332E30" w:rsidP="00251E73">
            <w:pPr>
              <w:rPr>
                <w:lang w:val="id-ID"/>
              </w:rPr>
            </w:pPr>
            <w:r>
              <w:rPr>
                <w:lang w:val="id-ID"/>
              </w:rPr>
              <w:t>Nama Jurnal :</w:t>
            </w:r>
            <w:r w:rsidR="00BA00EA">
              <w:rPr>
                <w:lang w:val="id-ID"/>
              </w:rPr>
              <w:t xml:space="preserve"> </w:t>
            </w:r>
            <w:proofErr w:type="spellStart"/>
            <w:r w:rsidR="00865F9A">
              <w:t>Hubungan</w:t>
            </w:r>
            <w:proofErr w:type="spellEnd"/>
            <w:r w:rsidR="00865F9A">
              <w:t xml:space="preserve"> </w:t>
            </w:r>
            <w:proofErr w:type="spellStart"/>
            <w:r w:rsidR="00865F9A">
              <w:t>Pengetahuan</w:t>
            </w:r>
            <w:proofErr w:type="spellEnd"/>
            <w:r w:rsidR="00865F9A">
              <w:t xml:space="preserve"> </w:t>
            </w:r>
            <w:proofErr w:type="spellStart"/>
            <w:r w:rsidR="00865F9A">
              <w:t>Tentang</w:t>
            </w:r>
            <w:proofErr w:type="spellEnd"/>
            <w:r w:rsidR="00865F9A">
              <w:t xml:space="preserve"> Menopause </w:t>
            </w:r>
            <w:proofErr w:type="spellStart"/>
            <w:r w:rsidR="00865F9A">
              <w:t>Dengan</w:t>
            </w:r>
            <w:proofErr w:type="spellEnd"/>
            <w:r w:rsidR="00865F9A">
              <w:t xml:space="preserve"> Tingkat </w:t>
            </w:r>
            <w:proofErr w:type="spellStart"/>
            <w:r w:rsidR="00865F9A">
              <w:t>Kesiapan</w:t>
            </w:r>
            <w:proofErr w:type="spellEnd"/>
            <w:r w:rsidR="00865F9A">
              <w:t xml:space="preserve"> </w:t>
            </w:r>
            <w:proofErr w:type="spellStart"/>
            <w:r w:rsidR="00865F9A">
              <w:t>Menjelang</w:t>
            </w:r>
            <w:proofErr w:type="spellEnd"/>
            <w:r w:rsidR="00865F9A">
              <w:t xml:space="preserve"> Menopause </w:t>
            </w:r>
            <w:proofErr w:type="spellStart"/>
            <w:r w:rsidR="00865F9A">
              <w:t>Pada</w:t>
            </w:r>
            <w:proofErr w:type="spellEnd"/>
            <w:r w:rsidR="00865F9A">
              <w:t xml:space="preserve"> </w:t>
            </w:r>
            <w:proofErr w:type="spellStart"/>
            <w:r w:rsidR="00865F9A">
              <w:t>Ibu</w:t>
            </w:r>
            <w:proofErr w:type="spellEnd"/>
            <w:r w:rsidR="00865F9A">
              <w:t xml:space="preserve"> </w:t>
            </w:r>
            <w:proofErr w:type="spellStart"/>
            <w:r w:rsidR="00865F9A">
              <w:t>Premenopause</w:t>
            </w:r>
            <w:proofErr w:type="spellEnd"/>
          </w:p>
          <w:p w:rsidR="00332E30" w:rsidRPr="00FA2D2C" w:rsidRDefault="00332E30" w:rsidP="00FA2D2C">
            <w:pPr>
              <w:rPr>
                <w:lang w:val="id-ID"/>
              </w:rPr>
            </w:pPr>
            <w:r w:rsidRPr="00865F9A">
              <w:rPr>
                <w:lang w:val="id-ID"/>
              </w:rPr>
              <w:t xml:space="preserve">Penulis : </w:t>
            </w:r>
            <w:r w:rsidR="00BA00EA" w:rsidRPr="00865F9A">
              <w:rPr>
                <w:lang w:val="id-ID"/>
              </w:rPr>
              <w:t xml:space="preserve"> </w:t>
            </w:r>
            <w:proofErr w:type="spellStart"/>
            <w:r w:rsidR="00865F9A">
              <w:t>Agus</w:t>
            </w:r>
            <w:proofErr w:type="spellEnd"/>
            <w:r w:rsidR="00865F9A">
              <w:t xml:space="preserve"> </w:t>
            </w:r>
            <w:proofErr w:type="spellStart"/>
            <w:r w:rsidR="00865F9A">
              <w:t>Eka</w:t>
            </w:r>
            <w:proofErr w:type="spellEnd"/>
            <w:r w:rsidR="00865F9A">
              <w:t xml:space="preserve"> </w:t>
            </w:r>
            <w:proofErr w:type="spellStart"/>
            <w:r w:rsidR="00865F9A">
              <w:t>Nurma</w:t>
            </w:r>
            <w:proofErr w:type="spellEnd"/>
            <w:r w:rsidR="00865F9A">
              <w:t xml:space="preserve"> </w:t>
            </w:r>
            <w:proofErr w:type="spellStart"/>
            <w:r w:rsidR="00865F9A">
              <w:t>Yuneta</w:t>
            </w:r>
            <w:proofErr w:type="spellEnd"/>
            <w:r w:rsidR="00865F9A">
              <w:t xml:space="preserve"> , </w:t>
            </w:r>
            <w:proofErr w:type="spellStart"/>
            <w:r w:rsidR="00865F9A">
              <w:t>Hardiningsih</w:t>
            </w:r>
            <w:proofErr w:type="spellEnd"/>
            <w:r w:rsidR="00865F9A">
              <w:t xml:space="preserve">, </w:t>
            </w:r>
            <w:proofErr w:type="spellStart"/>
            <w:r w:rsidR="00865F9A">
              <w:t>Fresthy</w:t>
            </w:r>
            <w:proofErr w:type="spellEnd"/>
            <w:r w:rsidR="00865F9A">
              <w:t xml:space="preserve"> </w:t>
            </w:r>
            <w:proofErr w:type="spellStart"/>
            <w:r w:rsidR="00865F9A">
              <w:t>Astrika</w:t>
            </w:r>
            <w:proofErr w:type="spellEnd"/>
            <w:r w:rsidR="00865F9A">
              <w:t xml:space="preserve"> </w:t>
            </w:r>
            <w:proofErr w:type="spellStart"/>
            <w:r w:rsidR="00865F9A">
              <w:t>Yunita</w:t>
            </w:r>
            <w:proofErr w:type="spellEnd"/>
            <w:r w:rsidR="00865F9A" w:rsidRPr="00865F9A">
              <w:rPr>
                <w:lang w:val="id-ID"/>
              </w:rPr>
              <w:t>.</w:t>
            </w:r>
          </w:p>
          <w:p w:rsidR="00332E30" w:rsidRDefault="00332E30" w:rsidP="00251E73">
            <w:pPr>
              <w:rPr>
                <w:lang w:val="id-ID"/>
              </w:rPr>
            </w:pPr>
            <w:r>
              <w:rPr>
                <w:lang w:val="id-ID"/>
              </w:rPr>
              <w:t xml:space="preserve">Tahun terbit: </w:t>
            </w:r>
            <w:r w:rsidR="00865F9A">
              <w:rPr>
                <w:lang w:val="id-ID"/>
              </w:rPr>
              <w:t>2021</w:t>
            </w:r>
          </w:p>
          <w:p w:rsidR="00332E30" w:rsidRDefault="00332E30" w:rsidP="00251E73">
            <w:pPr>
              <w:rPr>
                <w:lang w:val="id-ID"/>
              </w:rPr>
            </w:pPr>
            <w:r>
              <w:rPr>
                <w:lang w:val="id-ID"/>
              </w:rPr>
              <w:t xml:space="preserve">Volume : </w:t>
            </w:r>
            <w:r w:rsidR="00865F9A">
              <w:rPr>
                <w:lang w:val="id-ID"/>
              </w:rPr>
              <w:t>9 (2)</w:t>
            </w:r>
          </w:p>
          <w:p w:rsidR="00332E30" w:rsidRDefault="00332E30" w:rsidP="00251E73">
            <w:pPr>
              <w:rPr>
                <w:lang w:val="id-ID"/>
              </w:rPr>
            </w:pPr>
            <w:r>
              <w:rPr>
                <w:lang w:val="id-ID"/>
              </w:rPr>
              <w:t xml:space="preserve">Index : </w:t>
            </w:r>
            <w:r w:rsidR="00865F9A">
              <w:rPr>
                <w:lang w:val="id-ID"/>
              </w:rPr>
              <w:t>google scholar</w:t>
            </w:r>
          </w:p>
          <w:p w:rsidR="00332E30" w:rsidRDefault="00332E30" w:rsidP="00251E73">
            <w:pPr>
              <w:rPr>
                <w:lang w:val="id-ID"/>
              </w:rPr>
            </w:pPr>
            <w:r>
              <w:rPr>
                <w:lang w:val="id-ID"/>
              </w:rPr>
              <w:t>Metode</w:t>
            </w:r>
            <w:r w:rsidR="00865F9A">
              <w:rPr>
                <w:lang w:val="id-ID"/>
              </w:rPr>
              <w:t xml:space="preserve"> Pendekatan </w:t>
            </w:r>
            <w:r>
              <w:rPr>
                <w:lang w:val="id-ID"/>
              </w:rPr>
              <w:t>:</w:t>
            </w:r>
            <w:r w:rsidR="00865F9A">
              <w:rPr>
                <w:lang w:val="id-ID"/>
              </w:rPr>
              <w:t xml:space="preserve"> </w:t>
            </w:r>
            <w:r w:rsidR="00865F9A">
              <w:t>a cross</w:t>
            </w:r>
            <w:r w:rsidR="00865F9A">
              <w:rPr>
                <w:lang w:val="id-ID"/>
              </w:rPr>
              <w:t xml:space="preserve"> </w:t>
            </w:r>
            <w:r w:rsidR="00865F9A">
              <w:t>sectional design</w:t>
            </w:r>
            <w:r>
              <w:rPr>
                <w:lang w:val="id-ID"/>
              </w:rPr>
              <w:t xml:space="preserve"> </w:t>
            </w:r>
          </w:p>
          <w:p w:rsidR="00332E30" w:rsidRDefault="00332E30" w:rsidP="00251E73">
            <w:pPr>
              <w:rPr>
                <w:lang w:val="id-ID"/>
              </w:rPr>
            </w:pPr>
            <w:r>
              <w:rPr>
                <w:lang w:val="id-ID"/>
              </w:rPr>
              <w:t xml:space="preserve">Tujuan penelitian : </w:t>
            </w:r>
            <w:proofErr w:type="spellStart"/>
            <w:r w:rsidR="00FA2D2C">
              <w:t>Menganalisis</w:t>
            </w:r>
            <w:proofErr w:type="spellEnd"/>
            <w:r w:rsidR="00FA2D2C">
              <w:t xml:space="preserve"> </w:t>
            </w:r>
            <w:proofErr w:type="spellStart"/>
            <w:r w:rsidR="00FA2D2C">
              <w:t>hubungan</w:t>
            </w:r>
            <w:proofErr w:type="spellEnd"/>
            <w:r w:rsidR="00FA2D2C">
              <w:t xml:space="preserve"> </w:t>
            </w:r>
            <w:proofErr w:type="spellStart"/>
            <w:r w:rsidR="00FA2D2C">
              <w:t>pengetahuan</w:t>
            </w:r>
            <w:proofErr w:type="spellEnd"/>
            <w:r w:rsidR="00FA2D2C">
              <w:t xml:space="preserve"> </w:t>
            </w:r>
            <w:proofErr w:type="spellStart"/>
            <w:r w:rsidR="00FA2D2C">
              <w:t>tentang</w:t>
            </w:r>
            <w:proofErr w:type="spellEnd"/>
            <w:r w:rsidR="00FA2D2C">
              <w:t xml:space="preserve"> menopause </w:t>
            </w:r>
            <w:proofErr w:type="spellStart"/>
            <w:r w:rsidR="00FA2D2C">
              <w:t>dengan</w:t>
            </w:r>
            <w:proofErr w:type="spellEnd"/>
            <w:r w:rsidR="00FA2D2C">
              <w:t xml:space="preserve"> </w:t>
            </w:r>
            <w:proofErr w:type="spellStart"/>
            <w:r w:rsidR="00FA2D2C">
              <w:t>tingkat</w:t>
            </w:r>
            <w:proofErr w:type="spellEnd"/>
            <w:r w:rsidR="00FA2D2C">
              <w:t xml:space="preserve"> </w:t>
            </w:r>
            <w:proofErr w:type="spellStart"/>
            <w:r w:rsidR="00FA2D2C">
              <w:t>kesiapan</w:t>
            </w:r>
            <w:proofErr w:type="spellEnd"/>
            <w:r w:rsidR="00FA2D2C">
              <w:t xml:space="preserve"> </w:t>
            </w:r>
            <w:proofErr w:type="spellStart"/>
            <w:r w:rsidR="00FA2D2C">
              <w:t>menjelang</w:t>
            </w:r>
            <w:proofErr w:type="spellEnd"/>
            <w:r w:rsidR="00FA2D2C">
              <w:t xml:space="preserve"> menopause </w:t>
            </w:r>
            <w:proofErr w:type="spellStart"/>
            <w:r w:rsidR="00FA2D2C">
              <w:t>pada</w:t>
            </w:r>
            <w:proofErr w:type="spellEnd"/>
            <w:r w:rsidR="00FA2D2C">
              <w:t xml:space="preserve"> </w:t>
            </w:r>
            <w:proofErr w:type="spellStart"/>
            <w:r w:rsidR="00FA2D2C">
              <w:t>ibu</w:t>
            </w:r>
            <w:proofErr w:type="spellEnd"/>
            <w:r w:rsidR="00FA2D2C">
              <w:t xml:space="preserve"> </w:t>
            </w:r>
            <w:proofErr w:type="spellStart"/>
            <w:r w:rsidR="00FA2D2C">
              <w:t>premenopause</w:t>
            </w:r>
            <w:proofErr w:type="spellEnd"/>
            <w:r w:rsidR="00FA2D2C">
              <w:t>.</w:t>
            </w:r>
          </w:p>
          <w:p w:rsidR="00332E30" w:rsidRDefault="00332E30" w:rsidP="00251E73">
            <w:pPr>
              <w:rPr>
                <w:lang w:val="id-ID"/>
              </w:rPr>
            </w:pPr>
            <w:r>
              <w:rPr>
                <w:lang w:val="id-ID"/>
              </w:rPr>
              <w:t xml:space="preserve">Hasil penelitian : </w:t>
            </w:r>
            <w:proofErr w:type="spellStart"/>
            <w:r w:rsidR="00865F9A">
              <w:t>Sebanyak</w:t>
            </w:r>
            <w:proofErr w:type="spellEnd"/>
            <w:r w:rsidR="00865F9A">
              <w:t xml:space="preserve"> 66.7% (20 </w:t>
            </w:r>
            <w:proofErr w:type="spellStart"/>
            <w:r w:rsidR="00865F9A">
              <w:t>responden</w:t>
            </w:r>
            <w:proofErr w:type="spellEnd"/>
            <w:r w:rsidR="00865F9A">
              <w:t xml:space="preserve">) </w:t>
            </w:r>
            <w:proofErr w:type="spellStart"/>
            <w:r w:rsidR="00865F9A">
              <w:t>memiliki</w:t>
            </w:r>
            <w:proofErr w:type="spellEnd"/>
            <w:r w:rsidR="00865F9A">
              <w:t xml:space="preserve"> </w:t>
            </w:r>
            <w:proofErr w:type="spellStart"/>
            <w:r w:rsidR="00865F9A">
              <w:t>pengetahuan</w:t>
            </w:r>
            <w:proofErr w:type="spellEnd"/>
            <w:r w:rsidR="00865F9A">
              <w:t xml:space="preserve"> </w:t>
            </w:r>
            <w:proofErr w:type="spellStart"/>
            <w:r w:rsidR="00865F9A">
              <w:t>tinggi</w:t>
            </w:r>
            <w:proofErr w:type="spellEnd"/>
            <w:r w:rsidR="00865F9A">
              <w:t xml:space="preserve"> </w:t>
            </w:r>
            <w:proofErr w:type="spellStart"/>
            <w:r w:rsidR="00865F9A">
              <w:t>menghadapi</w:t>
            </w:r>
            <w:proofErr w:type="spellEnd"/>
            <w:r w:rsidR="00865F9A">
              <w:t xml:space="preserve"> menopause </w:t>
            </w:r>
            <w:proofErr w:type="spellStart"/>
            <w:r w:rsidR="00865F9A">
              <w:t>dan</w:t>
            </w:r>
            <w:proofErr w:type="spellEnd"/>
            <w:r w:rsidR="00865F9A">
              <w:t xml:space="preserve"> </w:t>
            </w:r>
            <w:proofErr w:type="spellStart"/>
            <w:r w:rsidR="00865F9A">
              <w:t>sebanyak</w:t>
            </w:r>
            <w:proofErr w:type="spellEnd"/>
            <w:r w:rsidR="00865F9A">
              <w:t xml:space="preserve"> 60% (18 </w:t>
            </w:r>
            <w:proofErr w:type="spellStart"/>
            <w:r w:rsidR="00865F9A">
              <w:t>responden</w:t>
            </w:r>
            <w:proofErr w:type="spellEnd"/>
            <w:r w:rsidR="00865F9A">
              <w:t xml:space="preserve">) </w:t>
            </w:r>
            <w:proofErr w:type="spellStart"/>
            <w:r w:rsidR="00865F9A">
              <w:t>siap</w:t>
            </w:r>
            <w:proofErr w:type="spellEnd"/>
            <w:r w:rsidR="00865F9A">
              <w:t xml:space="preserve"> </w:t>
            </w:r>
            <w:proofErr w:type="spellStart"/>
            <w:r w:rsidR="00865F9A">
              <w:t>menghadapi</w:t>
            </w:r>
            <w:proofErr w:type="spellEnd"/>
            <w:r w:rsidR="00865F9A">
              <w:t xml:space="preserve"> menopause. </w:t>
            </w:r>
            <w:proofErr w:type="spellStart"/>
            <w:r w:rsidR="00865F9A">
              <w:t>Hasil</w:t>
            </w:r>
            <w:proofErr w:type="spellEnd"/>
            <w:r w:rsidR="00865F9A">
              <w:t xml:space="preserve"> </w:t>
            </w:r>
            <w:proofErr w:type="spellStart"/>
            <w:r w:rsidR="00865F9A">
              <w:t>uji</w:t>
            </w:r>
            <w:proofErr w:type="spellEnd"/>
            <w:r w:rsidR="00865F9A">
              <w:t xml:space="preserve"> </w:t>
            </w:r>
            <w:proofErr w:type="spellStart"/>
            <w:r w:rsidR="00865F9A">
              <w:t>statistik</w:t>
            </w:r>
            <w:proofErr w:type="spellEnd"/>
            <w:r w:rsidR="00865F9A">
              <w:t xml:space="preserve"> </w:t>
            </w:r>
            <w:proofErr w:type="spellStart"/>
            <w:r w:rsidR="00865F9A">
              <w:t>menggunakan</w:t>
            </w:r>
            <w:proofErr w:type="spellEnd"/>
            <w:r w:rsidR="00865F9A">
              <w:t xml:space="preserve"> chi-square </w:t>
            </w:r>
            <w:proofErr w:type="spellStart"/>
            <w:r w:rsidR="00865F9A">
              <w:t>didapatkan</w:t>
            </w:r>
            <w:proofErr w:type="spellEnd"/>
            <w:r w:rsidR="00865F9A">
              <w:t xml:space="preserve"> </w:t>
            </w:r>
            <w:proofErr w:type="spellStart"/>
            <w:r w:rsidR="00865F9A">
              <w:t>nilai</w:t>
            </w:r>
            <w:proofErr w:type="spellEnd"/>
            <w:r w:rsidR="00865F9A">
              <w:t xml:space="preserve"> p= 0.045 (p</w:t>
            </w:r>
          </w:p>
          <w:p w:rsidR="00332E30" w:rsidRDefault="00332E30" w:rsidP="00251E73">
            <w:pPr>
              <w:rPr>
                <w:lang w:val="id-ID"/>
              </w:rPr>
            </w:pPr>
            <w:r>
              <w:rPr>
                <w:lang w:val="id-ID"/>
              </w:rPr>
              <w:t xml:space="preserve">Kesimpulan dan saran : </w:t>
            </w:r>
            <w:r w:rsidR="00865F9A">
              <w:rPr>
                <w:lang w:val="id-ID"/>
              </w:rPr>
              <w:t xml:space="preserve">Adanay keterkaitan dan hubungan antara pengetahuan </w:t>
            </w:r>
            <w:r w:rsidR="00FA2D2C">
              <w:rPr>
                <w:lang w:val="id-ID"/>
              </w:rPr>
              <w:t xml:space="preserve">tentang menopause dengan kesiapan menjelang menopause </w:t>
            </w:r>
          </w:p>
          <w:p w:rsidR="00332E30" w:rsidRPr="00332E30" w:rsidRDefault="00332E30" w:rsidP="00251E73">
            <w:pPr>
              <w:rPr>
                <w:lang w:val="id-ID"/>
              </w:rPr>
            </w:pPr>
          </w:p>
        </w:tc>
      </w:tr>
      <w:tr w:rsidR="005E0125" w:rsidRPr="00C31353" w:rsidTr="00251E7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5" w:rsidRPr="00C31353" w:rsidRDefault="005E0125" w:rsidP="008D47BB">
            <w:pPr>
              <w:snapToGrid w:val="0"/>
              <w:jc w:val="both"/>
              <w:rPr>
                <w:bCs/>
                <w:lang w:val="sv-SE"/>
              </w:rPr>
            </w:pPr>
            <w:proofErr w:type="spellStart"/>
            <w:r w:rsidRPr="00C31353">
              <w:t>Analisis</w:t>
            </w:r>
            <w:proofErr w:type="spellEnd"/>
            <w:r w:rsidRPr="00C31353">
              <w:t xml:space="preserve"> </w:t>
            </w:r>
            <w:proofErr w:type="spellStart"/>
            <w:r w:rsidRPr="00C31353">
              <w:t>jurnal</w:t>
            </w:r>
            <w:proofErr w:type="spellEnd"/>
            <w:r w:rsidRPr="00C31353">
              <w:t xml:space="preserve"> individualized </w:t>
            </w:r>
          </w:p>
          <w:p w:rsidR="005E0125" w:rsidRPr="00C31353" w:rsidRDefault="005E0125" w:rsidP="008D47BB">
            <w:pPr>
              <w:snapToGrid w:val="0"/>
              <w:jc w:val="both"/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A" w:rsidRDefault="00865F9A" w:rsidP="00865F9A">
            <w:pPr>
              <w:rPr>
                <w:lang w:val="id-ID"/>
              </w:rPr>
            </w:pP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sejalan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Indah et al.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kesi</w:t>
            </w:r>
            <w:r>
              <w:t>apan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menghadapi</w:t>
            </w:r>
            <w:proofErr w:type="spellEnd"/>
            <w:r>
              <w:t xml:space="preserve"> menopause</w:t>
            </w:r>
            <w:r>
              <w:t>.</w:t>
            </w:r>
          </w:p>
          <w:p w:rsidR="00865F9A" w:rsidRDefault="00865F9A" w:rsidP="00865F9A">
            <w:pPr>
              <w:rPr>
                <w:lang w:val="id-ID"/>
              </w:rPr>
            </w:pPr>
            <w:proofErr w:type="spellStart"/>
            <w:r>
              <w:t>Penelitian</w:t>
            </w:r>
            <w:proofErr w:type="spellEnd"/>
            <w:r>
              <w:t xml:space="preserve"> lain yang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</w:t>
            </w:r>
            <w:r>
              <w:t>elitian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Sasrawita</w:t>
            </w:r>
            <w:proofErr w:type="spellEnd"/>
            <w:r>
              <w:rPr>
                <w:lang w:val="id-ID"/>
              </w:rPr>
              <w:t xml:space="preserve"> </w:t>
            </w:r>
            <w:r>
              <w:t xml:space="preserve">yang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yang </w:t>
            </w:r>
            <w:proofErr w:type="spellStart"/>
            <w:r>
              <w:t>signifikan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pramenopause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kesiapan</w:t>
            </w:r>
            <w:proofErr w:type="spellEnd"/>
            <w:r>
              <w:t xml:space="preserve"> </w:t>
            </w:r>
            <w:proofErr w:type="spellStart"/>
            <w:r>
              <w:t>menghadapi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  <w:r>
              <w:t xml:space="preserve"> menopause. </w:t>
            </w:r>
            <w:proofErr w:type="spellStart"/>
            <w:r>
              <w:t>Moshki</w:t>
            </w:r>
            <w:proofErr w:type="spellEnd"/>
            <w:r>
              <w:t xml:space="preserve"> et al. </w:t>
            </w:r>
            <w:proofErr w:type="spellStart"/>
            <w:r>
              <w:t>menemukan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program </w:t>
            </w:r>
            <w:proofErr w:type="spellStart"/>
            <w:r>
              <w:t>edukasi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premenopause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efikasi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peneri</w:t>
            </w:r>
            <w:r>
              <w:t>maan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  <w:r>
              <w:t xml:space="preserve"> menopause</w:t>
            </w:r>
            <w:r>
              <w:t xml:space="preserve">. Di </w:t>
            </w:r>
            <w:proofErr w:type="spellStart"/>
            <w:r>
              <w:t>samping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,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intervensi</w:t>
            </w:r>
            <w:proofErr w:type="spellEnd"/>
            <w:r>
              <w:t xml:space="preserve"> </w:t>
            </w:r>
            <w:proofErr w:type="spellStart"/>
            <w:r>
              <w:t>diketahui</w:t>
            </w:r>
            <w:proofErr w:type="spellEnd"/>
            <w:r>
              <w:t xml:space="preserve"> 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t xml:space="preserve"> </w:t>
            </w:r>
            <w:proofErr w:type="spellStart"/>
            <w:r>
              <w:t>menghadapi</w:t>
            </w:r>
            <w:proofErr w:type="spellEnd"/>
            <w:r>
              <w:t xml:space="preserve"> menopause,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intervensi</w:t>
            </w:r>
            <w:proofErr w:type="spellEnd"/>
            <w:r>
              <w:t xml:space="preserve"> </w:t>
            </w:r>
            <w:proofErr w:type="spellStart"/>
            <w:r>
              <w:t>dikaitkan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adanya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menghadapi</w:t>
            </w:r>
            <w:proofErr w:type="spellEnd"/>
            <w:r>
              <w:t xml:space="preserve"> menopause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pengalaman</w:t>
            </w:r>
            <w:proofErr w:type="spellEnd"/>
            <w:r>
              <w:t xml:space="preserve"> </w:t>
            </w:r>
            <w:proofErr w:type="spellStart"/>
            <w:r>
              <w:t>positif</w:t>
            </w:r>
            <w:proofErr w:type="spellEnd"/>
            <w:r>
              <w:t xml:space="preserve"> yang </w:t>
            </w:r>
            <w:proofErr w:type="spellStart"/>
            <w:r>
              <w:t>didapatkan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simulasi</w:t>
            </w:r>
            <w:proofErr w:type="spellEnd"/>
            <w:r>
              <w:t xml:space="preserve"> </w:t>
            </w:r>
            <w:proofErr w:type="spellStart"/>
            <w:r>
              <w:t>keterampilan</w:t>
            </w:r>
            <w:proofErr w:type="spellEnd"/>
            <w:r>
              <w:t xml:space="preserve"> </w:t>
            </w:r>
            <w:proofErr w:type="spellStart"/>
            <w:r>
              <w:t>menghadapi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yang </w:t>
            </w:r>
            <w:proofErr w:type="spellStart"/>
            <w:r>
              <w:t>ditemui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  <w:r>
              <w:t xml:space="preserve"> menopause.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salah</w:t>
            </w:r>
            <w:proofErr w:type="spellEnd"/>
            <w:r>
              <w:t xml:space="preserve"> </w:t>
            </w:r>
            <w:proofErr w:type="spellStart"/>
            <w:r>
              <w:t>satunya</w:t>
            </w:r>
            <w:proofErr w:type="spellEnd"/>
            <w:r>
              <w:t xml:space="preserve"> </w:t>
            </w:r>
            <w:proofErr w:type="spellStart"/>
            <w:r>
              <w:t>didukung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pendidikan</w:t>
            </w:r>
            <w:proofErr w:type="spellEnd"/>
            <w:r>
              <w:t xml:space="preserve"> yang </w:t>
            </w:r>
            <w:proofErr w:type="spellStart"/>
            <w:r>
              <w:t>memadai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memudahkan</w:t>
            </w:r>
            <w:proofErr w:type="spellEnd"/>
            <w:r>
              <w:t xml:space="preserve"> </w:t>
            </w:r>
            <w:proofErr w:type="spellStart"/>
            <w:r>
              <w:t>seseorang</w:t>
            </w:r>
            <w:proofErr w:type="spellEnd"/>
            <w:r>
              <w:t xml:space="preserve"> </w:t>
            </w:r>
            <w:proofErr w:type="spellStart"/>
            <w:r>
              <w:t>memperoleh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menopause. </w:t>
            </w:r>
            <w:proofErr w:type="spellStart"/>
            <w:r>
              <w:t>Pemahaman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seluk</w:t>
            </w:r>
            <w:proofErr w:type="spellEnd"/>
            <w:r>
              <w:t xml:space="preserve"> </w:t>
            </w:r>
            <w:proofErr w:type="spellStart"/>
            <w:r>
              <w:t>beluk</w:t>
            </w:r>
            <w:proofErr w:type="spellEnd"/>
            <w:r>
              <w:t xml:space="preserve"> menopause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menunjang</w:t>
            </w:r>
            <w:proofErr w:type="spellEnd"/>
            <w:r>
              <w:t xml:space="preserve"> </w:t>
            </w:r>
            <w:proofErr w:type="spellStart"/>
            <w:r>
              <w:t>kesiapan</w:t>
            </w:r>
            <w:proofErr w:type="spellEnd"/>
            <w:r>
              <w:t xml:space="preserve"> </w:t>
            </w:r>
            <w:proofErr w:type="spellStart"/>
            <w:r>
              <w:t>wanita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menghadapi</w:t>
            </w:r>
            <w:proofErr w:type="spellEnd"/>
            <w:r>
              <w:t xml:space="preserve"> menopause. Tingkat </w:t>
            </w:r>
            <w:proofErr w:type="spellStart"/>
            <w:r>
              <w:t>pendidikan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memengaruhi</w:t>
            </w:r>
            <w:proofErr w:type="spellEnd"/>
            <w:r>
              <w:t xml:space="preserve"> </w:t>
            </w:r>
            <w:proofErr w:type="spellStart"/>
            <w:r>
              <w:t>seseorang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nalar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analisa</w:t>
            </w:r>
            <w:proofErr w:type="spellEnd"/>
            <w:r>
              <w:t xml:space="preserve">.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nalar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memudahkan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, </w:t>
            </w:r>
            <w:proofErr w:type="spellStart"/>
            <w:r>
              <w:t>salah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r>
              <w:lastRenderedPageBreak/>
              <w:t xml:space="preserve">yang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>
              <w:t>nformasi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pesan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>.</w:t>
            </w:r>
          </w:p>
          <w:p w:rsidR="00865F9A" w:rsidRDefault="00865F9A" w:rsidP="00865F9A">
            <w:pPr>
              <w:rPr>
                <w:lang w:val="id-ID"/>
              </w:rPr>
            </w:pPr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menopause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peran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  <w:r>
              <w:t xml:space="preserve"> menopause,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yang </w:t>
            </w:r>
            <w:proofErr w:type="spellStart"/>
            <w:r>
              <w:t>tinggi</w:t>
            </w:r>
            <w:proofErr w:type="spellEnd"/>
            <w:r>
              <w:t xml:space="preserve">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perempuan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menghad</w:t>
            </w:r>
            <w:r>
              <w:t>api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mengelola</w:t>
            </w:r>
            <w:proofErr w:type="spellEnd"/>
            <w:r>
              <w:t xml:space="preserve"> menopause</w:t>
            </w:r>
            <w:r>
              <w:t>.</w:t>
            </w:r>
          </w:p>
          <w:p w:rsidR="00FA2D2C" w:rsidRDefault="00865F9A" w:rsidP="00FA2D2C">
            <w:pPr>
              <w:rPr>
                <w:lang w:val="id-ID"/>
              </w:rPr>
            </w:pPr>
            <w:r w:rsidRPr="00865F9A">
              <w:rPr>
                <w:lang w:val="id-ID"/>
              </w:rPr>
              <w:t xml:space="preserve"> Memon et ai. menemukan bahwa sebanyak 87% perempuan yang memiliki pengetahuan tinggi akan memiliki persepsi positif terhadap menopause dan 76% merasakan hidup yang lebih tenang dan mudah</w:t>
            </w:r>
            <w:r w:rsidRPr="00865F9A">
              <w:rPr>
                <w:lang w:val="id-ID"/>
              </w:rPr>
              <w:t xml:space="preserve"> ketika menghadapi menopause</w:t>
            </w:r>
            <w:r w:rsidRPr="00865F9A">
              <w:rPr>
                <w:lang w:val="id-ID"/>
              </w:rPr>
              <w:t xml:space="preserve"> .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perempuan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rendah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cenderung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persepsi</w:t>
            </w:r>
            <w:proofErr w:type="spellEnd"/>
            <w:r>
              <w:t xml:space="preserve"> </w:t>
            </w:r>
            <w:proofErr w:type="spellStart"/>
            <w:r>
              <w:t>negatif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 w:rsidR="00FA2D2C">
              <w:rPr>
                <w:lang w:val="id-ID"/>
              </w:rPr>
              <w:t xml:space="preserve"> </w:t>
            </w:r>
            <w:r w:rsidR="00FA2D2C">
              <w:t xml:space="preserve">menopause </w:t>
            </w:r>
            <w:proofErr w:type="spellStart"/>
            <w:r w:rsidR="00FA2D2C">
              <w:t>dan</w:t>
            </w:r>
            <w:proofErr w:type="spellEnd"/>
            <w:r w:rsidR="00FA2D2C">
              <w:t xml:space="preserve"> </w:t>
            </w:r>
            <w:proofErr w:type="spellStart"/>
            <w:r w:rsidR="00FA2D2C">
              <w:t>merasa</w:t>
            </w:r>
            <w:proofErr w:type="spellEnd"/>
            <w:r w:rsidR="00FA2D2C">
              <w:t xml:space="preserve"> </w:t>
            </w:r>
            <w:proofErr w:type="spellStart"/>
            <w:r w:rsidR="00FA2D2C">
              <w:t>pemarah</w:t>
            </w:r>
            <w:proofErr w:type="spellEnd"/>
            <w:r w:rsidR="00FA2D2C">
              <w:t xml:space="preserve">, </w:t>
            </w:r>
            <w:proofErr w:type="spellStart"/>
            <w:r w:rsidR="00FA2D2C">
              <w:t>mudah</w:t>
            </w:r>
            <w:proofErr w:type="spellEnd"/>
            <w:r w:rsidR="00FA2D2C">
              <w:t xml:space="preserve"> </w:t>
            </w:r>
            <w:proofErr w:type="spellStart"/>
            <w:r w:rsidR="00FA2D2C">
              <w:t>tersinggung</w:t>
            </w:r>
            <w:proofErr w:type="spellEnd"/>
            <w:r w:rsidR="00FA2D2C">
              <w:t xml:space="preserve">, </w:t>
            </w:r>
            <w:proofErr w:type="spellStart"/>
            <w:r w:rsidR="00FA2D2C">
              <w:t>memengaruhi</w:t>
            </w:r>
            <w:proofErr w:type="spellEnd"/>
            <w:r w:rsidR="00FA2D2C">
              <w:t xml:space="preserve"> </w:t>
            </w:r>
            <w:proofErr w:type="spellStart"/>
            <w:r w:rsidR="00FA2D2C">
              <w:t>kemampuan</w:t>
            </w:r>
            <w:proofErr w:type="spellEnd"/>
            <w:r w:rsidR="00FA2D2C">
              <w:t xml:space="preserve"> </w:t>
            </w:r>
            <w:proofErr w:type="spellStart"/>
            <w:r w:rsidR="00FA2D2C">
              <w:t>bekerja</w:t>
            </w:r>
            <w:proofErr w:type="spellEnd"/>
            <w:r w:rsidR="00FA2D2C">
              <w:t xml:space="preserve">, </w:t>
            </w:r>
            <w:proofErr w:type="spellStart"/>
            <w:r w:rsidR="00FA2D2C">
              <w:t>serta</w:t>
            </w:r>
            <w:proofErr w:type="spellEnd"/>
            <w:r w:rsidR="00FA2D2C">
              <w:t xml:space="preserve"> </w:t>
            </w:r>
            <w:proofErr w:type="spellStart"/>
            <w:r w:rsidR="00FA2D2C">
              <w:t>kehilangan</w:t>
            </w:r>
            <w:proofErr w:type="spellEnd"/>
            <w:r w:rsidR="00FA2D2C">
              <w:t xml:space="preserve"> </w:t>
            </w:r>
            <w:proofErr w:type="spellStart"/>
            <w:r w:rsidR="00FA2D2C">
              <w:t>feminitas</w:t>
            </w:r>
            <w:proofErr w:type="spellEnd"/>
            <w:r w:rsidR="00FA2D2C">
              <w:t xml:space="preserve"> </w:t>
            </w:r>
            <w:proofErr w:type="spellStart"/>
            <w:r w:rsidR="00FA2D2C">
              <w:t>selama</w:t>
            </w:r>
            <w:proofErr w:type="spellEnd"/>
            <w:r w:rsidR="00FA2D2C">
              <w:t xml:space="preserve"> </w:t>
            </w:r>
            <w:proofErr w:type="spellStart"/>
            <w:r w:rsidR="00FA2D2C">
              <w:t>menghadapi</w:t>
            </w:r>
            <w:proofErr w:type="spellEnd"/>
            <w:r w:rsidR="00FA2D2C">
              <w:t xml:space="preserve"> </w:t>
            </w:r>
            <w:proofErr w:type="spellStart"/>
            <w:r w:rsidR="00FA2D2C">
              <w:t>masa</w:t>
            </w:r>
            <w:proofErr w:type="spellEnd"/>
            <w:r w:rsidR="00FA2D2C">
              <w:t xml:space="preserve"> menopause. Hal </w:t>
            </w:r>
            <w:proofErr w:type="spellStart"/>
            <w:r w:rsidR="00FA2D2C">
              <w:t>ini</w:t>
            </w:r>
            <w:proofErr w:type="spellEnd"/>
            <w:r w:rsidR="00FA2D2C">
              <w:t xml:space="preserve"> </w:t>
            </w:r>
            <w:proofErr w:type="spellStart"/>
            <w:r w:rsidR="00FA2D2C">
              <w:t>didukung</w:t>
            </w:r>
            <w:proofErr w:type="spellEnd"/>
            <w:r w:rsidR="00FA2D2C">
              <w:t xml:space="preserve"> </w:t>
            </w:r>
            <w:proofErr w:type="spellStart"/>
            <w:r w:rsidR="00FA2D2C">
              <w:t>oleh</w:t>
            </w:r>
            <w:proofErr w:type="spellEnd"/>
            <w:r w:rsidR="00FA2D2C">
              <w:t xml:space="preserve"> Monica yang </w:t>
            </w:r>
            <w:proofErr w:type="spellStart"/>
            <w:r w:rsidR="00FA2D2C">
              <w:t>dalam</w:t>
            </w:r>
            <w:proofErr w:type="spellEnd"/>
            <w:r w:rsidR="00FA2D2C">
              <w:t xml:space="preserve"> </w:t>
            </w:r>
            <w:proofErr w:type="spellStart"/>
            <w:r w:rsidR="00FA2D2C">
              <w:t>penelitiannya</w:t>
            </w:r>
            <w:proofErr w:type="spellEnd"/>
            <w:r w:rsidR="00FA2D2C">
              <w:t xml:space="preserve"> </w:t>
            </w:r>
            <w:proofErr w:type="spellStart"/>
            <w:r w:rsidR="00FA2D2C">
              <w:t>menemukan</w:t>
            </w:r>
            <w:proofErr w:type="spellEnd"/>
            <w:r w:rsidR="00FA2D2C">
              <w:t xml:space="preserve"> </w:t>
            </w:r>
            <w:proofErr w:type="spellStart"/>
            <w:r w:rsidR="00FA2D2C">
              <w:t>bahwa</w:t>
            </w:r>
            <w:proofErr w:type="spellEnd"/>
            <w:r w:rsidR="00FA2D2C">
              <w:t xml:space="preserve"> </w:t>
            </w:r>
            <w:proofErr w:type="spellStart"/>
            <w:r w:rsidR="00FA2D2C">
              <w:t>pendidikan</w:t>
            </w:r>
            <w:proofErr w:type="spellEnd"/>
            <w:r w:rsidR="00FA2D2C">
              <w:t xml:space="preserve"> </w:t>
            </w:r>
            <w:proofErr w:type="spellStart"/>
            <w:r w:rsidR="00FA2D2C">
              <w:t>kesehatan</w:t>
            </w:r>
            <w:proofErr w:type="spellEnd"/>
            <w:r w:rsidR="00FA2D2C">
              <w:t xml:space="preserve"> </w:t>
            </w:r>
            <w:proofErr w:type="spellStart"/>
            <w:r w:rsidR="00FA2D2C">
              <w:t>tentang</w:t>
            </w:r>
            <w:proofErr w:type="spellEnd"/>
            <w:r w:rsidR="00FA2D2C">
              <w:t xml:space="preserve"> menopause </w:t>
            </w:r>
            <w:proofErr w:type="spellStart"/>
            <w:r w:rsidR="00FA2D2C">
              <w:t>secara</w:t>
            </w:r>
            <w:proofErr w:type="spellEnd"/>
            <w:r w:rsidR="00FA2D2C">
              <w:t xml:space="preserve"> </w:t>
            </w:r>
            <w:proofErr w:type="spellStart"/>
            <w:r w:rsidR="00FA2D2C">
              <w:t>intensif</w:t>
            </w:r>
            <w:proofErr w:type="spellEnd"/>
            <w:r w:rsidR="00FA2D2C">
              <w:t xml:space="preserve"> </w:t>
            </w:r>
            <w:proofErr w:type="spellStart"/>
            <w:r w:rsidR="00FA2D2C">
              <w:t>sebanyak</w:t>
            </w:r>
            <w:proofErr w:type="spellEnd"/>
            <w:r w:rsidR="00FA2D2C">
              <w:t xml:space="preserve"> </w:t>
            </w:r>
            <w:proofErr w:type="spellStart"/>
            <w:r w:rsidR="00FA2D2C">
              <w:t>dua</w:t>
            </w:r>
            <w:proofErr w:type="spellEnd"/>
            <w:r w:rsidR="00FA2D2C">
              <w:t xml:space="preserve"> kali </w:t>
            </w:r>
            <w:proofErr w:type="spellStart"/>
            <w:r w:rsidR="00FA2D2C">
              <w:t>atau</w:t>
            </w:r>
            <w:proofErr w:type="spellEnd"/>
            <w:r w:rsidR="00FA2D2C">
              <w:t xml:space="preserve"> </w:t>
            </w:r>
            <w:proofErr w:type="spellStart"/>
            <w:r w:rsidR="00FA2D2C">
              <w:t>lebih</w:t>
            </w:r>
            <w:proofErr w:type="spellEnd"/>
            <w:r w:rsidR="00FA2D2C">
              <w:t xml:space="preserve"> </w:t>
            </w:r>
            <w:proofErr w:type="spellStart"/>
            <w:r w:rsidR="00FA2D2C">
              <w:t>dapat</w:t>
            </w:r>
            <w:proofErr w:type="spellEnd"/>
            <w:r w:rsidR="00FA2D2C">
              <w:t xml:space="preserve"> </w:t>
            </w:r>
            <w:proofErr w:type="spellStart"/>
            <w:r w:rsidR="00FA2D2C">
              <w:t>meningkatkan</w:t>
            </w:r>
            <w:proofErr w:type="spellEnd"/>
            <w:r w:rsidR="00FA2D2C">
              <w:t xml:space="preserve"> </w:t>
            </w:r>
            <w:proofErr w:type="spellStart"/>
            <w:r w:rsidR="00FA2D2C">
              <w:t>sikap</w:t>
            </w:r>
            <w:proofErr w:type="spellEnd"/>
            <w:r w:rsidR="00FA2D2C">
              <w:t xml:space="preserve"> </w:t>
            </w:r>
            <w:proofErr w:type="spellStart"/>
            <w:r w:rsidR="00FA2D2C">
              <w:t>ibu</w:t>
            </w:r>
            <w:proofErr w:type="spellEnd"/>
            <w:r w:rsidR="00FA2D2C">
              <w:t xml:space="preserve"> </w:t>
            </w:r>
            <w:proofErr w:type="spellStart"/>
            <w:r w:rsidR="00FA2D2C">
              <w:t>dalam</w:t>
            </w:r>
            <w:proofErr w:type="spellEnd"/>
            <w:r w:rsidR="00FA2D2C">
              <w:t xml:space="preserve"> </w:t>
            </w:r>
            <w:proofErr w:type="spellStart"/>
            <w:r w:rsidR="00FA2D2C">
              <w:t>menghadapi</w:t>
            </w:r>
            <w:proofErr w:type="spellEnd"/>
            <w:r w:rsidR="00FA2D2C">
              <w:t xml:space="preserve"> menopause.</w:t>
            </w:r>
          </w:p>
          <w:p w:rsidR="005E0125" w:rsidRPr="00FA2D2C" w:rsidRDefault="00FA2D2C" w:rsidP="00FA2D2C">
            <w:pPr>
              <w:rPr>
                <w:lang w:val="id-ID"/>
              </w:rPr>
            </w:pPr>
            <w:r w:rsidRPr="00FA2D2C">
              <w:rPr>
                <w:lang w:val="id-ID"/>
              </w:rPr>
              <w:t xml:space="preserve"> Pada penelitian ini diketahui bahwa ada hubungan sikap ibu premenopause terhadap kesiapan menghadapi menopause dikarenakan tingkat pendidikan dan pekerjaan sehingga mempengaruhi sikap responden terhadap perubahan pada masa menopause. </w:t>
            </w:r>
            <w:proofErr w:type="spellStart"/>
            <w:r>
              <w:t>Sikap</w:t>
            </w:r>
            <w:proofErr w:type="spellEnd"/>
            <w:r>
              <w:t xml:space="preserve"> </w:t>
            </w:r>
            <w:proofErr w:type="spellStart"/>
            <w:r>
              <w:t>positif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menghadapi</w:t>
            </w:r>
            <w:proofErr w:type="spellEnd"/>
            <w:r>
              <w:t xml:space="preserve"> menopause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mengalihkan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menyenangkan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hal-hal</w:t>
            </w:r>
            <w:proofErr w:type="spellEnd"/>
            <w:r>
              <w:t xml:space="preserve"> </w:t>
            </w:r>
            <w:proofErr w:type="spellStart"/>
            <w:r>
              <w:t>positif</w:t>
            </w:r>
            <w:proofErr w:type="spellEnd"/>
            <w:r>
              <w:t xml:space="preserve"> pula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yang </w:t>
            </w:r>
            <w:proofErr w:type="spellStart"/>
            <w:r>
              <w:t>berguna</w:t>
            </w:r>
            <w:proofErr w:type="spellEnd"/>
            <w:r>
              <w:t xml:space="preserve">. </w:t>
            </w:r>
            <w:proofErr w:type="spellStart"/>
            <w:r>
              <w:t>Penerimaan</w:t>
            </w:r>
            <w:proofErr w:type="spellEnd"/>
            <w:r>
              <w:t xml:space="preserve"> yang </w:t>
            </w:r>
            <w:proofErr w:type="spellStart"/>
            <w:r>
              <w:t>positif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  <w:r>
              <w:t xml:space="preserve"> menopause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</w:t>
            </w:r>
            <w:proofErr w:type="spellStart"/>
            <w:r>
              <w:t>mempersiapkan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psikis</w:t>
            </w:r>
            <w:proofErr w:type="spellEnd"/>
            <w:r>
              <w:t xml:space="preserve"> </w:t>
            </w:r>
            <w:proofErr w:type="spellStart"/>
            <w:r>
              <w:t>sejak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  <w:r>
              <w:t xml:space="preserve">. </w:t>
            </w:r>
            <w:proofErr w:type="spellStart"/>
            <w:r>
              <w:t>Distribusi</w:t>
            </w:r>
            <w:proofErr w:type="spellEnd"/>
            <w:r>
              <w:t xml:space="preserve"> </w:t>
            </w:r>
            <w:proofErr w:type="spellStart"/>
            <w:r>
              <w:t>frekuensi</w:t>
            </w:r>
            <w:proofErr w:type="spellEnd"/>
            <w:r>
              <w:t xml:space="preserve"> </w:t>
            </w:r>
            <w:proofErr w:type="spellStart"/>
            <w:r>
              <w:t>kesiapan</w:t>
            </w:r>
            <w:proofErr w:type="spellEnd"/>
            <w:r>
              <w:t xml:space="preserve"> menopause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 </w:t>
            </w:r>
            <w:proofErr w:type="spellStart"/>
            <w:r>
              <w:t>tertinggi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siap</w:t>
            </w:r>
            <w:proofErr w:type="spellEnd"/>
            <w:r>
              <w:t xml:space="preserve"> </w:t>
            </w:r>
            <w:proofErr w:type="spellStart"/>
            <w:r>
              <w:t>yaitu</w:t>
            </w:r>
            <w:proofErr w:type="spellEnd"/>
            <w:r>
              <w:t xml:space="preserve"> </w:t>
            </w:r>
            <w:proofErr w:type="spellStart"/>
            <w:r>
              <w:t>sebanyak</w:t>
            </w:r>
            <w:proofErr w:type="spellEnd"/>
            <w:r>
              <w:t xml:space="preserve"> 35 </w:t>
            </w:r>
            <w:proofErr w:type="spellStart"/>
            <w:r>
              <w:t>responden</w:t>
            </w:r>
            <w:proofErr w:type="spellEnd"/>
            <w:r>
              <w:t xml:space="preserve"> (65%). </w:t>
            </w:r>
            <w:proofErr w:type="spellStart"/>
            <w:r>
              <w:t>Kesiapan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pra</w:t>
            </w:r>
            <w:proofErr w:type="spellEnd"/>
            <w:r>
              <w:t xml:space="preserve"> menopause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mempersiapkan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psikologis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menghadapi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  <w:r>
              <w:t xml:space="preserve"> menopause.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yang </w:t>
            </w:r>
            <w:proofErr w:type="spellStart"/>
            <w:r>
              <w:t>berhubungan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kesiapan</w:t>
            </w:r>
            <w:proofErr w:type="spellEnd"/>
            <w:r>
              <w:t xml:space="preserve"> menopause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wanita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gramStart"/>
            <w:r>
              <w:t>lain</w:t>
            </w:r>
            <w:proofErr w:type="gramEnd"/>
            <w:r>
              <w:t xml:space="preserve"> </w:t>
            </w:r>
            <w:proofErr w:type="spellStart"/>
            <w:r>
              <w:t>tingkat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responden</w:t>
            </w:r>
            <w:proofErr w:type="spellEnd"/>
            <w:r>
              <w:t xml:space="preserve">. Tingkat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responden</w:t>
            </w:r>
            <w:proofErr w:type="spellEnd"/>
            <w:r>
              <w:t xml:space="preserve">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 </w:t>
            </w:r>
            <w:proofErr w:type="spellStart"/>
            <w:r>
              <w:t>tertinggi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lulus SMA/</w:t>
            </w:r>
            <w:proofErr w:type="spellStart"/>
            <w:r>
              <w:t>sederajat</w:t>
            </w:r>
            <w:proofErr w:type="spellEnd"/>
            <w:r>
              <w:t xml:space="preserve">. Hal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sebagaimana</w:t>
            </w:r>
            <w:proofErr w:type="spellEnd"/>
            <w:r>
              <w:t xml:space="preserve"> </w:t>
            </w:r>
            <w:proofErr w:type="spellStart"/>
            <w:r>
              <w:t>dikemukakan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Notoatmodjo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tingkat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salah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yang </w:t>
            </w:r>
            <w:proofErr w:type="spellStart"/>
            <w:r>
              <w:t>mempengaruhi</w:t>
            </w:r>
            <w:proofErr w:type="spellEnd"/>
            <w:r>
              <w:t xml:space="preserve"> </w:t>
            </w:r>
            <w:proofErr w:type="spellStart"/>
            <w:r>
              <w:t>tingkat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,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berpengaruh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besar</w:t>
            </w:r>
            <w:proofErr w:type="spellEnd"/>
            <w:r>
              <w:t xml:space="preserve"> </w:t>
            </w:r>
            <w:proofErr w:type="spellStart"/>
            <w:r>
              <w:t>kecilnya</w:t>
            </w:r>
            <w:proofErr w:type="spellEnd"/>
            <w:r>
              <w:t xml:space="preserve"> </w:t>
            </w:r>
            <w:proofErr w:type="spellStart"/>
            <w:r>
              <w:t>kesiapan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menghadapi</w:t>
            </w:r>
            <w:proofErr w:type="spellEnd"/>
            <w:r>
              <w:t xml:space="preserve"> menopause</w:t>
            </w:r>
            <w:r>
              <w:t xml:space="preserve">. </w:t>
            </w:r>
            <w:proofErr w:type="spellStart"/>
            <w:r>
              <w:t>Ibu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siap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menghadapi</w:t>
            </w:r>
            <w:proofErr w:type="spellEnd"/>
            <w:r>
              <w:t xml:space="preserve"> menopause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positif</w:t>
            </w:r>
            <w:proofErr w:type="spellEnd"/>
            <w:r>
              <w:t xml:space="preserve">. </w:t>
            </w:r>
            <w:proofErr w:type="spellStart"/>
            <w:r>
              <w:t>Pengetahuan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mempersiapkan</w:t>
            </w:r>
            <w:proofErr w:type="spellEnd"/>
            <w:r>
              <w:t xml:space="preserve"> </w:t>
            </w:r>
            <w:proofErr w:type="spellStart"/>
            <w:r>
              <w:t>dirinya</w:t>
            </w:r>
            <w:proofErr w:type="spellEnd"/>
            <w:r>
              <w:t xml:space="preserve"> </w:t>
            </w:r>
            <w:proofErr w:type="spellStart"/>
            <w:r>
              <w:t>menjalani</w:t>
            </w:r>
            <w:proofErr w:type="spellEnd"/>
            <w:r>
              <w:t xml:space="preserve"> menopause.</w:t>
            </w:r>
          </w:p>
          <w:p w:rsidR="005E0125" w:rsidRPr="00C31353" w:rsidRDefault="005E0125" w:rsidP="00251E73"/>
          <w:p w:rsidR="005E0125" w:rsidRPr="00C31353" w:rsidRDefault="005E0125" w:rsidP="00251E73"/>
          <w:p w:rsidR="005E0125" w:rsidRPr="00C31353" w:rsidRDefault="005E0125" w:rsidP="00251E73"/>
          <w:p w:rsidR="005E0125" w:rsidRPr="00C31353" w:rsidRDefault="005E0125" w:rsidP="00251E73"/>
          <w:p w:rsidR="005E0125" w:rsidRPr="00C31353" w:rsidRDefault="005E0125" w:rsidP="00251E73"/>
          <w:p w:rsidR="005E0125" w:rsidRPr="00C31353" w:rsidRDefault="005E0125" w:rsidP="00251E73"/>
          <w:p w:rsidR="005E0125" w:rsidRPr="00C31353" w:rsidRDefault="005E0125" w:rsidP="00251E73"/>
          <w:p w:rsidR="005E0125" w:rsidRPr="00C31353" w:rsidRDefault="005E0125" w:rsidP="00251E73"/>
        </w:tc>
      </w:tr>
      <w:tr w:rsidR="005E0125" w:rsidRPr="00C31353" w:rsidTr="005E0125">
        <w:trPr>
          <w:trHeight w:val="12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25" w:rsidRPr="00C31353" w:rsidRDefault="005E0125" w:rsidP="005E0125">
            <w:pPr>
              <w:snapToGrid w:val="0"/>
              <w:jc w:val="both"/>
            </w:pPr>
            <w:proofErr w:type="spellStart"/>
            <w:r>
              <w:lastRenderedPageBreak/>
              <w:t>Sumber</w:t>
            </w:r>
            <w:proofErr w:type="spellEnd"/>
            <w:r>
              <w:t xml:space="preserve"> </w:t>
            </w:r>
            <w:proofErr w:type="spellStart"/>
            <w:r>
              <w:t>pustaka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25" w:rsidRPr="00C31353" w:rsidRDefault="005E0125" w:rsidP="00251E73"/>
          <w:p w:rsidR="005E0125" w:rsidRPr="00FA2D2C" w:rsidRDefault="00FA2D2C" w:rsidP="00251E73">
            <w:pPr>
              <w:rPr>
                <w:lang w:val="id-ID"/>
              </w:rPr>
            </w:pPr>
            <w:hyperlink r:id="rId7" w:history="1">
              <w:r w:rsidRPr="00A854F8">
                <w:rPr>
                  <w:rStyle w:val="Hyperlink"/>
                </w:rPr>
                <w:t>https://digilib.uns.ac.id/dokumen/download/15960/MzEwNDk=/Hubungan-tingkat-pengetahuan-tentang-menopause-dengan-kesiapan-menghadapi-menopause-pada-ibu-premenopause-di-Perumahan-Sewon-Asri-Yogyakarta-abstrak.pdf</w:t>
              </w:r>
            </w:hyperlink>
            <w:r>
              <w:rPr>
                <w:lang w:val="id-ID"/>
              </w:rPr>
              <w:t xml:space="preserve"> </w:t>
            </w:r>
            <w:bookmarkStart w:id="0" w:name="_GoBack"/>
            <w:bookmarkEnd w:id="0"/>
          </w:p>
          <w:p w:rsidR="005E0125" w:rsidRPr="00C31353" w:rsidRDefault="005E0125" w:rsidP="00251E73"/>
          <w:p w:rsidR="005E0125" w:rsidRPr="00C31353" w:rsidRDefault="005E0125" w:rsidP="00251E73"/>
        </w:tc>
      </w:tr>
      <w:tr w:rsidR="005E0125" w:rsidRPr="00C31353" w:rsidTr="00251E73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25" w:rsidRPr="009E19A2" w:rsidRDefault="005E0125" w:rsidP="00251E73">
            <w:pPr>
              <w:jc w:val="right"/>
            </w:pPr>
            <w:r w:rsidRPr="00C31353">
              <w:rPr>
                <w:lang w:val="id-ID"/>
              </w:rPr>
              <w:t>Yogyakar</w:t>
            </w:r>
            <w:r>
              <w:rPr>
                <w:lang w:val="id-ID"/>
              </w:rPr>
              <w:t>ta..........................20</w:t>
            </w:r>
            <w:r>
              <w:t>20</w:t>
            </w:r>
          </w:p>
          <w:p w:rsidR="005E0125" w:rsidRPr="00C31353" w:rsidRDefault="005E0125" w:rsidP="00251E73">
            <w:pPr>
              <w:jc w:val="center"/>
              <w:rPr>
                <w:lang w:val="id-ID"/>
              </w:rPr>
            </w:pPr>
            <w:r w:rsidRPr="00C31353">
              <w:rPr>
                <w:lang w:val="id-ID"/>
              </w:rPr>
              <w:t xml:space="preserve">                                                                                                      Menyetujui</w:t>
            </w:r>
          </w:p>
          <w:p w:rsidR="005E0125" w:rsidRPr="00C31353" w:rsidRDefault="005E0125" w:rsidP="00251E73">
            <w:pPr>
              <w:jc w:val="right"/>
              <w:rPr>
                <w:lang w:val="id-ID"/>
              </w:rPr>
            </w:pPr>
            <w:r w:rsidRPr="00C31353">
              <w:rPr>
                <w:lang w:val="id-ID"/>
              </w:rPr>
              <w:t>Dosen Pengampu Praktikum</w:t>
            </w:r>
          </w:p>
          <w:p w:rsidR="005E0125" w:rsidRPr="00C31353" w:rsidRDefault="005E0125" w:rsidP="00251E73">
            <w:pPr>
              <w:jc w:val="right"/>
              <w:rPr>
                <w:lang w:val="id-ID"/>
              </w:rPr>
            </w:pPr>
          </w:p>
          <w:p w:rsidR="005E0125" w:rsidRPr="00C31353" w:rsidRDefault="005E0125" w:rsidP="00251E73">
            <w:pPr>
              <w:rPr>
                <w:lang w:val="id-ID"/>
              </w:rPr>
            </w:pPr>
          </w:p>
          <w:p w:rsidR="005E0125" w:rsidRPr="00C31353" w:rsidRDefault="005E0125" w:rsidP="00251E73">
            <w:pPr>
              <w:jc w:val="right"/>
              <w:rPr>
                <w:lang w:val="id-ID"/>
              </w:rPr>
            </w:pPr>
            <w:r w:rsidRPr="00C31353">
              <w:rPr>
                <w:lang w:val="id-ID"/>
              </w:rPr>
              <w:t>(.....................................................)</w:t>
            </w:r>
          </w:p>
        </w:tc>
      </w:tr>
    </w:tbl>
    <w:p w:rsidR="003821B0" w:rsidRDefault="00FA2D2C"/>
    <w:sectPr w:rsidR="00382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49F"/>
    <w:multiLevelType w:val="hybridMultilevel"/>
    <w:tmpl w:val="81FE541C"/>
    <w:lvl w:ilvl="0" w:tplc="1A64BC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14BA7"/>
    <w:multiLevelType w:val="hybridMultilevel"/>
    <w:tmpl w:val="11589844"/>
    <w:lvl w:ilvl="0" w:tplc="91EA2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CA"/>
    <w:rsid w:val="0007205E"/>
    <w:rsid w:val="00096605"/>
    <w:rsid w:val="00332E30"/>
    <w:rsid w:val="005E0125"/>
    <w:rsid w:val="00865F9A"/>
    <w:rsid w:val="00A849A0"/>
    <w:rsid w:val="00BA00EA"/>
    <w:rsid w:val="00BA0222"/>
    <w:rsid w:val="00BD4E5A"/>
    <w:rsid w:val="00C64ACA"/>
    <w:rsid w:val="00E33EF7"/>
    <w:rsid w:val="00FA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ACA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CA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5E0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ACA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CA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5E0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gilib.uns.ac.id/dokumen/download/15960/MzEwNDk=/Hubungan-tingkat-pengetahuan-tentang-menopause-dengan-kesiapan-menghadapi-menopause-pada-ibu-premenopause-di-Perumahan-Sewon-Asri-Yogyakarta-abstra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5</cp:revision>
  <dcterms:created xsi:type="dcterms:W3CDTF">2020-10-19T01:36:00Z</dcterms:created>
  <dcterms:modified xsi:type="dcterms:W3CDTF">2021-12-21T11:41:00Z</dcterms:modified>
</cp:coreProperties>
</file>