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w:t>
      </w:r>
      <w:r w:rsidR="001D39E1" w:rsidRPr="00CF0429">
        <w:rPr>
          <w:rFonts w:asciiTheme="majorBidi" w:hAnsiTheme="majorBidi" w:cstheme="majorBidi"/>
          <w:color w:val="000000" w:themeColor="text1"/>
          <w:lang w:val="id-ID"/>
        </w:rPr>
        <w:lastRenderedPageBreak/>
        <w:t>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w:t>
      </w:r>
      <w:r w:rsidRPr="00CF0429">
        <w:rPr>
          <w:rFonts w:asciiTheme="majorBidi" w:hAnsiTheme="majorBidi" w:cstheme="majorBidi"/>
          <w:color w:val="000000" w:themeColor="text1"/>
        </w:rPr>
        <w:lastRenderedPageBreak/>
        <w:t xml:space="preserve">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w:t>
      </w:r>
      <w:r w:rsidRPr="00CF0429">
        <w:rPr>
          <w:rFonts w:asciiTheme="majorBidi" w:hAnsiTheme="majorBidi" w:cstheme="majorBidi"/>
          <w:color w:val="000000" w:themeColor="text1"/>
        </w:rPr>
        <w:lastRenderedPageBreak/>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 xml:space="preserve">“Allah tidak menyuruh kita membicarakan hal-hal yang tidak tercapai pengertian oleh akal </w:t>
      </w:r>
      <w:r w:rsidRPr="00CF0429">
        <w:rPr>
          <w:rStyle w:val="Emphasis"/>
          <w:rFonts w:asciiTheme="majorBidi" w:eastAsiaTheme="majorEastAsia" w:hAnsiTheme="majorBidi" w:cstheme="majorBidi"/>
          <w:color w:val="000000" w:themeColor="text1"/>
        </w:rPr>
        <w:lastRenderedPageBreak/>
        <w:t>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lastRenderedPageBreak/>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sidRPr="00CF0429">
        <w:rPr>
          <w:rFonts w:asciiTheme="majorBidi" w:hAnsiTheme="majorBidi" w:cstheme="majorBidi"/>
          <w:color w:val="000000" w:themeColor="text1"/>
        </w:rPr>
        <w:lastRenderedPageBreak/>
        <w:t>(mutasyabih)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sidRPr="00406728">
        <w:rPr>
          <w:rFonts w:asciiTheme="majorBidi" w:eastAsia="Times New Roman" w:hAnsiTheme="majorBidi" w:cstheme="majorBidi"/>
          <w:color w:val="000000" w:themeColor="text1"/>
          <w:lang w:val="id-ID"/>
        </w:rPr>
        <w:lastRenderedPageBreak/>
        <w:t>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w:t>
      </w:r>
      <w:r w:rsidR="00406728" w:rsidRPr="00406728">
        <w:rPr>
          <w:rFonts w:asciiTheme="majorBidi" w:eastAsia="Times New Roman" w:hAnsiTheme="majorBidi" w:cstheme="majorBidi"/>
          <w:color w:val="000000" w:themeColor="text1"/>
          <w:lang w:val="id-ID"/>
        </w:rPr>
        <w:lastRenderedPageBreak/>
        <w:t xml:space="preserve">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bookmarkStart w:id="0" w:name="_GoBack"/>
      <w:bookmarkEnd w:id="0"/>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Nama :</w:t>
      </w:r>
      <w:proofErr w:type="gramEnd"/>
      <w:r w:rsidRPr="00CF0429">
        <w:rPr>
          <w:rFonts w:asciiTheme="majorBidi" w:hAnsiTheme="majorBidi" w:cstheme="majorBidi"/>
          <w:color w:val="000000" w:themeColor="text1"/>
        </w:rPr>
        <w:t>…………………….</w:t>
      </w:r>
    </w:p>
    <w:p w:rsidR="003D2EED" w:rsidRPr="00CF0429" w:rsidRDefault="003D2EED" w:rsidP="00CF0429">
      <w:pP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Angkatan :</w:t>
      </w:r>
      <w:proofErr w:type="gramEnd"/>
      <w:r w:rsidRPr="00CF0429">
        <w:rPr>
          <w:rFonts w:asciiTheme="majorBidi" w:hAnsiTheme="majorBidi" w:cstheme="majorBidi"/>
          <w:color w:val="000000" w:themeColor="text1"/>
        </w:rPr>
        <w:t xml:space="preserve"> ……………</w:t>
      </w:r>
      <w:r w:rsidR="006B1125" w:rsidRPr="00CF0429">
        <w:rPr>
          <w:rFonts w:asciiTheme="majorBidi" w:hAnsiTheme="majorBidi" w:cstheme="majorBidi"/>
          <w:color w:val="000000" w:themeColor="text1"/>
        </w:rPr>
        <w:t>…</w:t>
      </w: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Fak/ </w:t>
      </w:r>
      <w:proofErr w:type="gramStart"/>
      <w:r w:rsidRPr="00CF0429">
        <w:rPr>
          <w:rFonts w:asciiTheme="majorBidi" w:hAnsiTheme="majorBidi" w:cstheme="majorBidi"/>
          <w:color w:val="000000" w:themeColor="text1"/>
        </w:rPr>
        <w:t>Prodi :</w:t>
      </w:r>
      <w:proofErr w:type="gramEnd"/>
      <w:r w:rsidRPr="00CF0429">
        <w:rPr>
          <w:rFonts w:asciiTheme="majorBidi" w:hAnsiTheme="majorBidi" w:cstheme="majorBidi"/>
          <w:color w:val="000000" w:themeColor="text1"/>
        </w:rPr>
        <w:t>…………………</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Mengapa </w:t>
      </w:r>
      <w:proofErr w:type="gramStart"/>
      <w:r w:rsidRPr="00CF0429">
        <w:rPr>
          <w:rFonts w:asciiTheme="majorBidi" w:hAnsiTheme="majorBidi" w:cstheme="majorBidi"/>
          <w:color w:val="000000" w:themeColor="text1"/>
        </w:rPr>
        <w:t>Muhammadiyah  memandang</w:t>
      </w:r>
      <w:proofErr w:type="gramEnd"/>
      <w:r w:rsidRPr="00CF0429">
        <w:rPr>
          <w:rFonts w:asciiTheme="majorBidi" w:hAnsiTheme="majorBidi" w:cstheme="majorBidi"/>
          <w:color w:val="000000" w:themeColor="text1"/>
        </w:rPr>
        <w:t xml:space="preserve"> pintu ijtihad tetap terbuka?</w:t>
      </w:r>
    </w:p>
    <w:p w:rsidR="00541838"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3D2EED" w:rsidRPr="00CF0429"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swiss"/>
    <w:pitch w:val="default"/>
    <w:sig w:usb0="00000000"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compat/>
  <w:rsids>
    <w:rsidRoot w:val="00231B92"/>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MH</cp:lastModifiedBy>
  <cp:revision>2</cp:revision>
  <dcterms:created xsi:type="dcterms:W3CDTF">2020-08-13T09:59:00Z</dcterms:created>
  <dcterms:modified xsi:type="dcterms:W3CDTF">2020-08-13T09:59:00Z</dcterms:modified>
</cp:coreProperties>
</file>