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Putusan Tarjih (HPT). Dalam HPT disebutkan bahwa “</w:t>
      </w:r>
      <w:r w:rsidR="001D39E1" w:rsidRPr="00CF0429">
        <w:rPr>
          <w:rFonts w:asciiTheme="majorBidi" w:hAnsiTheme="majorBidi" w:cstheme="majorBidi"/>
          <w:i/>
          <w:iCs/>
          <w:color w:val="000000" w:themeColor="text1"/>
        </w:rPr>
        <w:t>Agama adalah apa yang disyariatkan Allah dengan perantaraan nabi-</w:t>
      </w:r>
      <w:r w:rsidR="001D39E1" w:rsidRPr="00CF0429">
        <w:rPr>
          <w:rFonts w:asciiTheme="majorBidi" w:hAnsiTheme="majorBidi" w:cstheme="majorBidi"/>
          <w:i/>
          <w:iCs/>
          <w:color w:val="000000" w:themeColor="text1"/>
        </w:rPr>
        <w:lastRenderedPageBreak/>
        <w:t>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manusia untuk memeluk agama Islam (da’wah ila al-Khair), menyuruh pada yang ma’ruf (al-amr bi al-ma’ruf), dan mencegah dari yang munkar (al-nahy ‘an al-munkar) {QS. Ali Imran/3: 104}, sehingga </w:t>
      </w:r>
      <w:r w:rsidRPr="00CF0429">
        <w:rPr>
          <w:rFonts w:asciiTheme="majorBidi" w:hAnsiTheme="majorBidi" w:cstheme="majorBidi"/>
          <w:color w:val="000000" w:themeColor="text1"/>
        </w:rPr>
        <w:lastRenderedPageBreak/>
        <w:t>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ma’ruf nahi 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w:t>
      </w:r>
      <w:r w:rsidRPr="00CF0429">
        <w:rPr>
          <w:rFonts w:asciiTheme="majorBidi" w:hAnsiTheme="majorBidi" w:cstheme="majorBidi"/>
          <w:color w:val="000000" w:themeColor="text1"/>
        </w:rPr>
        <w:lastRenderedPageBreak/>
        <w:t>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bab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w:t>
      </w:r>
      <w:r w:rsidRPr="00CF0429">
        <w:rPr>
          <w:rFonts w:asciiTheme="majorBidi" w:hAnsiTheme="majorBidi" w:cstheme="majorBidi"/>
          <w:color w:val="000000" w:themeColor="text1"/>
        </w:rPr>
        <w:lastRenderedPageBreak/>
        <w:t>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sama,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w:t>
      </w:r>
      <w:r w:rsidRPr="00CF0429">
        <w:rPr>
          <w:rFonts w:asciiTheme="majorBidi" w:hAnsiTheme="majorBidi" w:cstheme="majorBidi"/>
          <w:color w:val="000000" w:themeColor="text1"/>
        </w:rPr>
        <w:lastRenderedPageBreak/>
        <w:t xml:space="preserve">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a.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Pertama, nash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“(5) Di dalam masalah aqidah hanya dipergunakan dalil-dalil yang mutawatir, (6) Dalil-dalil umum Alquran dapat ditakhsis dengan hadits ahad, kecuali dalam bidang aqidah, (16) dalam memahami nash, makna zhahir 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“Allah tidak menyuruh kita membicarakan hal-hal yang tidak tercapai pengertian oleh akal 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lastRenderedPageBreak/>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terhadap hal-hal yang terdapat di dalam nash,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Berprinsip terbuka dan toleran dan tidak beranggapan bahwa hanya Majlis Tarjih yang paling benar. Koreksi dari siapa pun akan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bidang ibadah yang diperoleh ketentuan-ketentuannya dari Alquran dan Sunnah, pemahamannya dapat menggunakan akal sepanjang diketahui latar belakang dan tujuannya. Meskipun harus diakui bahwa akal bersifat nisbi, sehingga prinsip mendahulukan nash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 xml:space="preserve">“Muhammadiyah bekerja untuk tegaknya nilai-nilai akhlaq mulia dengan </w:t>
      </w:r>
      <w:r w:rsidRPr="00CF0429">
        <w:rPr>
          <w:rStyle w:val="Emphasis"/>
          <w:rFonts w:asciiTheme="majorBidi" w:eastAsiaTheme="majorEastAsia" w:hAnsiTheme="majorBidi" w:cstheme="majorBidi"/>
          <w:color w:val="000000" w:themeColor="text1"/>
        </w:rPr>
        <w:lastRenderedPageBreak/>
        <w:t>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Mengenai Muhammadiyah menjadikan akhlaq sebagai salah satu garis perjuangannya, hal ini selain secara tegas dinyatakan dalam </w:t>
      </w:r>
      <w:r w:rsidRPr="00CF0429">
        <w:rPr>
          <w:rStyle w:val="Emphasis"/>
          <w:rFonts w:asciiTheme="majorBidi" w:eastAsiaTheme="majorEastAsia" w:hAnsiTheme="majorBidi" w:cstheme="majorBidi"/>
          <w:color w:val="000000" w:themeColor="text1"/>
        </w:rPr>
        <w:t>nash,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membersihkan jiwa dari kesyirikan, sehingga kepatuhan dan ketundukan hanya semata-mata kepada Allah. Usaha tersebut ditempuh melalui pendidikan, sehingga sifat bodoh dan inferoritas berangsur-angsur habis kemudian membina ukhuwah antar sesame muslim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Manusiawi. Akhlaq dalam Islam sejalan dan memenuhi fitrah manusia. Jiwa manusia yang merindukan kebaikan, dan akan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Akhlak Keseimbangan. Akhlaq Islam dapat memenuhi kebutuhan sewaktu hidup di dunia maupun di akhirat, memenuhi tuntutan kebutuhan manusia duniawi maupun ukhrawi secara seimbang, </w:t>
      </w:r>
      <w:r w:rsidRPr="00CF0429">
        <w:rPr>
          <w:rFonts w:asciiTheme="majorBidi" w:hAnsiTheme="majorBidi" w:cstheme="majorBidi"/>
          <w:color w:val="000000" w:themeColor="text1"/>
        </w:rPr>
        <w:lastRenderedPageBreak/>
        <w:t>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Ijtihad Bayan : yaitu ijtihad terhadap ayat yang mujmal baik karena belum jelas maksud lafadz yang dimaksud, maupun karena lafadz itu mengandung makna ganda, mengandung arti musytarak ataupun karena pengertian lafadz dalam ungkapan yang konteksnya mempunyai arti yang jumbuh (mutasyabih)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lastRenderedPageBreak/>
        <w:t>Qiyas</w:t>
      </w:r>
      <w:r w:rsidRPr="00CF0429">
        <w:rPr>
          <w:rFonts w:asciiTheme="majorBidi" w:hAnsiTheme="majorBidi" w:cstheme="majorBidi"/>
          <w:color w:val="000000" w:themeColor="text1"/>
        </w:rPr>
        <w:t>: Menyamakan sesuatu hal yang tidak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Yaitu, menetapkan hukum yang sama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cara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atau pendekatan rasional argumentatif adalah pendekatan yang mendasarkan diri pada kekuatan rasio melalui instrumen logika (induksi, deduksi, abduksi, simbolik, proses, dll.) dan metode diskursif (bahtsiyyah). Pendekatan ini menjadikan realitas  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lastRenderedPageBreak/>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w:t>
      </w:r>
      <w:r w:rsidRPr="00406728">
        <w:rPr>
          <w:rFonts w:asciiTheme="majorBidi" w:eastAsia="Times New Roman" w:hAnsiTheme="majorBidi" w:cstheme="majorBidi"/>
          <w:color w:val="000000" w:themeColor="text1"/>
          <w:lang w:val="id-ID"/>
        </w:rPr>
        <w:lastRenderedPageBreak/>
        <w:t xml:space="preserve">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dengan berbagai metodenya antara lain: 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083AA8"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Nama :</w:t>
      </w:r>
      <w:proofErr w:type="gramEnd"/>
      <w:r>
        <w:rPr>
          <w:rFonts w:asciiTheme="majorBidi" w:hAnsiTheme="majorBidi" w:cstheme="majorBidi"/>
          <w:color w:val="000000" w:themeColor="text1"/>
        </w:rPr>
        <w:t xml:space="preserve"> Jamilatun Fajar</w:t>
      </w:r>
    </w:p>
    <w:p w:rsidR="003D2EED" w:rsidRPr="00CF0429" w:rsidRDefault="00083AA8"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rPr>
        <w:t xml:space="preserve"> 2016-2020</w:t>
      </w:r>
    </w:p>
    <w:p w:rsidR="003D2EED" w:rsidRPr="00CF0429" w:rsidRDefault="00083AA8"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Fak/ </w:t>
      </w:r>
      <w:proofErr w:type="gramStart"/>
      <w:r>
        <w:rPr>
          <w:rFonts w:asciiTheme="majorBidi" w:hAnsiTheme="majorBidi" w:cstheme="majorBidi"/>
          <w:color w:val="000000" w:themeColor="text1"/>
        </w:rPr>
        <w:t>Prodi :</w:t>
      </w:r>
      <w:proofErr w:type="gramEnd"/>
      <w:r>
        <w:rPr>
          <w:rFonts w:asciiTheme="majorBidi" w:hAnsiTheme="majorBidi" w:cstheme="majorBidi"/>
          <w:color w:val="000000" w:themeColor="text1"/>
        </w:rPr>
        <w:t xml:space="preserve"> S1 Ilmu Keperawatan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083AA8" w:rsidRPr="00083AA8" w:rsidRDefault="00083AA8" w:rsidP="00083AA8">
      <w:pPr>
        <w:pStyle w:val="ListParagraph"/>
        <w:spacing w:line="360" w:lineRule="auto"/>
        <w:jc w:val="both"/>
        <w:rPr>
          <w:rFonts w:asciiTheme="majorBidi" w:hAnsiTheme="majorBidi" w:cstheme="majorBidi"/>
          <w:color w:val="000000" w:themeColor="text1"/>
        </w:rPr>
      </w:pPr>
      <w:r w:rsidRPr="00083AA8">
        <w:rPr>
          <w:rFonts w:asciiTheme="majorBidi" w:hAnsiTheme="majorBidi" w:cstheme="majorBidi"/>
          <w:color w:val="000000" w:themeColor="text1"/>
        </w:rPr>
        <w:t xml:space="preserve">Paham Islam dalam Muhammadiyah adalah kembali kepada Al Qur’an dan </w:t>
      </w:r>
      <w:proofErr w:type="gramStart"/>
      <w:r w:rsidRPr="00083AA8">
        <w:rPr>
          <w:rFonts w:asciiTheme="majorBidi" w:hAnsiTheme="majorBidi" w:cstheme="majorBidi"/>
          <w:color w:val="000000" w:themeColor="text1"/>
        </w:rPr>
        <w:t>As</w:t>
      </w:r>
      <w:proofErr w:type="gramEnd"/>
      <w:r w:rsidRPr="00083AA8">
        <w:rPr>
          <w:rFonts w:asciiTheme="majorBidi" w:hAnsiTheme="majorBidi" w:cstheme="majorBidi"/>
          <w:color w:val="000000" w:themeColor="text1"/>
        </w:rPr>
        <w:t xml:space="preserve"> Sunnah. Artinya paham Islam yang murni yang merujuk kepada sumber ajaran yang utama yaitu Al Qur’an dan </w:t>
      </w:r>
      <w:proofErr w:type="gramStart"/>
      <w:r w:rsidRPr="00083AA8">
        <w:rPr>
          <w:rFonts w:asciiTheme="majorBidi" w:hAnsiTheme="majorBidi" w:cstheme="majorBidi"/>
          <w:color w:val="000000" w:themeColor="text1"/>
        </w:rPr>
        <w:t>As</w:t>
      </w:r>
      <w:proofErr w:type="gramEnd"/>
      <w:r w:rsidRPr="00083AA8">
        <w:rPr>
          <w:rFonts w:asciiTheme="majorBidi" w:hAnsiTheme="majorBidi" w:cstheme="majorBidi"/>
          <w:color w:val="000000" w:themeColor="text1"/>
        </w:rPr>
        <w:t xml:space="preserve"> Sunnah yang Shohihah dan Maqbulah serta berorientasi kepada kemajuan. As-Sunnah Al-Maqbulah ini yang terkadang menjadikan Muhammadiyah terlihat berbeda dalam beberapa hal pada pelaksanaan ajaran Islam. As-Sunnah Al-Maqbulah dalam istilah hadis diartikan dengan “hadis yang diterima” dan ini terdiri hanya dari dua macam yaitu hadis sahih dan hadis hasan, hadis dha`if tidak dijadikan sebagai sumber dalam ajaran Muhammadiyah. Hadis dha`if yang dapat dijadikan sumber jika memenuhi beberapa syarat yaitu: (1) sanadnya sangat banyak dan saling menguatkan; (2) ada petunjuk bahwa hadis tersebut benar adanya berasal dari Rasul; (3) tidak bertentangan dengan Al-Quran dan hadis sahih.</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sumber Ajaran Islam yang diikuti oleh Muhammadiyah?</w:t>
      </w:r>
    </w:p>
    <w:p w:rsidR="00083AA8" w:rsidRPr="00CF0429" w:rsidRDefault="00083AA8" w:rsidP="00083AA8">
      <w:pPr>
        <w:pStyle w:val="ListParagraph"/>
        <w:spacing w:line="360" w:lineRule="auto"/>
        <w:jc w:val="both"/>
        <w:rPr>
          <w:rFonts w:asciiTheme="majorBidi" w:hAnsiTheme="majorBidi" w:cstheme="majorBidi"/>
          <w:color w:val="000000" w:themeColor="text1"/>
        </w:rPr>
      </w:pPr>
      <w:r w:rsidRPr="00083AA8">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083AA8">
        <w:rPr>
          <w:rFonts w:asciiTheme="majorBidi" w:hAnsiTheme="majorBidi" w:cstheme="majorBidi"/>
          <w:i/>
          <w:iCs/>
          <w:color w:val="000000" w:themeColor="text1"/>
        </w:rPr>
        <w:t>Assunnah Almaqbulah. </w:t>
      </w:r>
    </w:p>
    <w:p w:rsidR="003D2EED" w:rsidRDefault="00083AA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Mengapa Muhammadiyah</w:t>
      </w:r>
      <w:r w:rsidR="00541838" w:rsidRPr="00CF0429">
        <w:rPr>
          <w:rFonts w:asciiTheme="majorBidi" w:hAnsiTheme="majorBidi" w:cstheme="majorBidi"/>
          <w:color w:val="000000" w:themeColor="text1"/>
        </w:rPr>
        <w:t xml:space="preserve"> memandang pintu ijtihad tetap terbuka?</w:t>
      </w:r>
    </w:p>
    <w:p w:rsidR="00083AA8" w:rsidRPr="00CF0429" w:rsidRDefault="00046464" w:rsidP="00083AA8">
      <w:pPr>
        <w:pStyle w:val="ListParagraph"/>
        <w:spacing w:line="360" w:lineRule="auto"/>
        <w:jc w:val="both"/>
        <w:rPr>
          <w:rFonts w:asciiTheme="majorBidi" w:hAnsiTheme="majorBidi" w:cstheme="majorBidi"/>
          <w:color w:val="000000" w:themeColor="text1"/>
        </w:rPr>
      </w:pPr>
      <w:r w:rsidRPr="00046464">
        <w:rPr>
          <w:rFonts w:asciiTheme="majorBidi" w:hAnsiTheme="majorBidi" w:cstheme="majorBidi"/>
          <w:color w:val="000000" w:themeColor="text1"/>
        </w:rPr>
        <w:t>Ijtihad dan istinbath atas dasar ‘illah terhadap hal-hal yang terdapat di dalam nash, dapat dilakukan sepanjang tidak menyangkut bidang ta’abbdi dan memang merupakan hal yang diajarkan dalam memenuhi kebutuhan hidup manusia.</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bidang kajian Islam yang diurusi Muhammadiyah?</w:t>
      </w:r>
    </w:p>
    <w:p w:rsidR="00046464" w:rsidRPr="00CF0429" w:rsidRDefault="00046464" w:rsidP="00046464">
      <w:pPr>
        <w:pStyle w:val="ListParagraph"/>
        <w:spacing w:line="360" w:lineRule="auto"/>
        <w:jc w:val="both"/>
        <w:rPr>
          <w:rFonts w:asciiTheme="majorBidi" w:hAnsiTheme="majorBidi" w:cstheme="majorBidi"/>
          <w:color w:val="000000" w:themeColor="text1"/>
        </w:rPr>
      </w:pPr>
      <w:r w:rsidRPr="00046464">
        <w:rPr>
          <w:rFonts w:asciiTheme="majorBidi" w:hAnsiTheme="majorBidi" w:cstheme="majorBidi"/>
          <w:color w:val="000000" w:themeColor="text1"/>
        </w:rPr>
        <w:t>Muhammdiyah bergerak dalam berbagai bidang kehidupan manusia yang antara lain dapat diklasisfikasikan sebagai berikut: 1) ‘aqidah, 2) hukum, 3) akhlak, dan 4) Mu’amalah dunyawiyah.</w:t>
      </w:r>
    </w:p>
    <w:p w:rsidR="003D2EED"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w:t>
      </w:r>
      <w:r w:rsidR="00083AA8">
        <w:rPr>
          <w:rFonts w:asciiTheme="majorBidi" w:hAnsiTheme="majorBidi" w:cstheme="majorBidi"/>
          <w:color w:val="000000" w:themeColor="text1"/>
        </w:rPr>
        <w:t xml:space="preserve">  </w:t>
      </w:r>
      <w:proofErr w:type="gramStart"/>
      <w:r w:rsidR="00290F1D" w:rsidRPr="00CF0429">
        <w:rPr>
          <w:rFonts w:asciiTheme="majorBidi" w:hAnsiTheme="majorBidi" w:cstheme="majorBidi"/>
          <w:color w:val="000000" w:themeColor="text1"/>
        </w:rPr>
        <w:t>masalah?.</w:t>
      </w:r>
      <w:proofErr w:type="gramEnd"/>
    </w:p>
    <w:p w:rsidR="00046464" w:rsidRPr="00CF0429" w:rsidRDefault="00046464" w:rsidP="00046464">
      <w:pPr>
        <w:pStyle w:val="ListParagraph"/>
        <w:spacing w:line="360" w:lineRule="auto"/>
        <w:jc w:val="both"/>
        <w:rPr>
          <w:rFonts w:asciiTheme="majorBidi" w:hAnsiTheme="majorBidi" w:cstheme="majorBidi"/>
          <w:color w:val="000000" w:themeColor="text1"/>
        </w:rPr>
      </w:pPr>
      <w:r w:rsidRPr="00046464">
        <w:rPr>
          <w:rFonts w:asciiTheme="majorBidi" w:hAnsiTheme="majorBidi" w:cstheme="majorBidi"/>
          <w:color w:val="000000" w:themeColor="text1"/>
        </w:rPr>
        <w:t>Dalam menjalankan perannya dalam berbagai bidang tersebut maka Muhammadiyah melakukan ijtihad dengan berbagai metodenya antara lain: 1) Ijtihad bayani, 2</w:t>
      </w:r>
      <w:proofErr w:type="gramStart"/>
      <w:r w:rsidRPr="00046464">
        <w:rPr>
          <w:rFonts w:asciiTheme="majorBidi" w:hAnsiTheme="majorBidi" w:cstheme="majorBidi"/>
          <w:color w:val="000000" w:themeColor="text1"/>
        </w:rPr>
        <w:t>)  Ijma</w:t>
      </w:r>
      <w:proofErr w:type="gramEnd"/>
      <w:r w:rsidRPr="00046464">
        <w:rPr>
          <w:rFonts w:asciiTheme="majorBidi" w:hAnsiTheme="majorBidi" w:cstheme="majorBidi"/>
          <w:color w:val="000000" w:themeColor="text1"/>
        </w:rPr>
        <w:t>’, 3) Ijtihad Qiyasi, 4) Ijtihad Ishtishlahiy, 5) Istihsan, 6) Pendekatan burhani, 7) Pendekatan `Irfani</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046464"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B1454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B1454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KD</w:t>
            </w: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B1454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Tp</w:t>
            </w:r>
          </w:p>
        </w:tc>
      </w:tr>
      <w:tr w:rsidR="00CF0429" w:rsidRPr="00CF0429" w:rsidTr="00290F1D">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tcPr>
          <w:p w:rsidR="003D2EED" w:rsidRPr="00CF0429" w:rsidRDefault="00B14545"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Ss</w:t>
            </w: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567" w:type="dxa"/>
          </w:tcPr>
          <w:p w:rsidR="003D2EED" w:rsidRPr="00CF0429" w:rsidRDefault="003D2EED" w:rsidP="00CF0429">
            <w:pPr>
              <w:spacing w:line="360" w:lineRule="auto"/>
              <w:jc w:val="both"/>
              <w:rPr>
                <w:rFonts w:asciiTheme="majorBidi" w:hAnsiTheme="majorBidi" w:cstheme="majorBidi"/>
                <w:color w:val="000000" w:themeColor="text1"/>
              </w:rPr>
            </w:pPr>
          </w:p>
        </w:tc>
        <w:tc>
          <w:tcPr>
            <w:tcW w:w="651" w:type="dxa"/>
          </w:tcPr>
          <w:p w:rsidR="003D2EED" w:rsidRPr="00CF0429" w:rsidRDefault="003D2EED" w:rsidP="00CF0429">
            <w:pPr>
              <w:spacing w:line="360" w:lineRule="auto"/>
              <w:jc w:val="both"/>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bookmarkStart w:id="0" w:name="_GoBack"/>
      <w:bookmarkEnd w:id="0"/>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4"/>
  </w:num>
  <w:num w:numId="13">
    <w:abstractNumId w:val="12"/>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2"/>
    <w:rsid w:val="00046464"/>
    <w:rsid w:val="00083AA8"/>
    <w:rsid w:val="000A23C0"/>
    <w:rsid w:val="000B1A9E"/>
    <w:rsid w:val="001D39E1"/>
    <w:rsid w:val="00220415"/>
    <w:rsid w:val="002249A3"/>
    <w:rsid w:val="00231B92"/>
    <w:rsid w:val="00290F1D"/>
    <w:rsid w:val="00300BB2"/>
    <w:rsid w:val="003321B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B14545"/>
    <w:rsid w:val="00BC1467"/>
    <w:rsid w:val="00C37ADD"/>
    <w:rsid w:val="00CF0429"/>
    <w:rsid w:val="00D82C92"/>
    <w:rsid w:val="00E044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4D52"/>
  <w15:docId w15:val="{BAF4A826-02C2-44E1-8C44-BA26AEAF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C72F-4505-4F8D-B2C0-0A8F9B5D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5243</Words>
  <Characters>29889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ASUS</cp:lastModifiedBy>
  <cp:revision>2</cp:revision>
  <dcterms:created xsi:type="dcterms:W3CDTF">2020-09-02T05:20:00Z</dcterms:created>
  <dcterms:modified xsi:type="dcterms:W3CDTF">2020-09-02T05:20:00Z</dcterms:modified>
</cp:coreProperties>
</file>