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35" w:rsidRPr="008F1BE2" w:rsidRDefault="00AB2A35" w:rsidP="00CF0429">
      <w:pPr>
        <w:spacing w:line="360" w:lineRule="auto"/>
        <w:jc w:val="both"/>
        <w:rPr>
          <w:rFonts w:asciiTheme="majorBidi" w:hAnsiTheme="majorBidi" w:cstheme="majorBidi"/>
          <w:color w:val="000000" w:themeColor="text1"/>
          <w:lang w:val="id-ID"/>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E27B2B" w:rsidRDefault="003D2EED" w:rsidP="00CF0429">
      <w:pPr>
        <w:spacing w:line="360" w:lineRule="auto"/>
        <w:jc w:val="both"/>
        <w:rPr>
          <w:rFonts w:asciiTheme="majorBidi" w:hAnsiTheme="majorBidi" w:cstheme="majorBidi"/>
          <w:color w:val="000000" w:themeColor="text1"/>
          <w:lang w:val="id-ID"/>
        </w:rPr>
      </w:pPr>
      <w:proofErr w:type="gramStart"/>
      <w:r w:rsidRPr="00CF0429">
        <w:rPr>
          <w:rFonts w:asciiTheme="majorBidi" w:hAnsiTheme="majorBidi" w:cstheme="majorBidi"/>
          <w:color w:val="000000" w:themeColor="text1"/>
        </w:rPr>
        <w:t xml:space="preserve">Nama </w:t>
      </w:r>
      <w:r w:rsidR="008F1BE2" w:rsidRPr="00CF0429">
        <w:rPr>
          <w:rFonts w:asciiTheme="majorBidi" w:hAnsiTheme="majorBidi" w:cstheme="majorBidi"/>
          <w:color w:val="000000" w:themeColor="text1"/>
        </w:rPr>
        <w:t>:</w:t>
      </w:r>
      <w:r w:rsidR="008F1BE2">
        <w:rPr>
          <w:rFonts w:asciiTheme="majorBidi" w:hAnsiTheme="majorBidi" w:cstheme="majorBidi"/>
          <w:color w:val="000000" w:themeColor="text1"/>
          <w:lang w:val="id-ID"/>
        </w:rPr>
        <w:t>Elva</w:t>
      </w:r>
      <w:proofErr w:type="gramEnd"/>
      <w:r w:rsidR="008F1BE2">
        <w:rPr>
          <w:rFonts w:asciiTheme="majorBidi" w:hAnsiTheme="majorBidi" w:cstheme="majorBidi"/>
          <w:color w:val="000000" w:themeColor="text1"/>
          <w:lang w:val="id-ID"/>
        </w:rPr>
        <w:t xml:space="preserve"> Yuliana</w:t>
      </w:r>
    </w:p>
    <w:p w:rsidR="003D2EED" w:rsidRPr="00E27B2B" w:rsidRDefault="003D2EED" w:rsidP="00CF0429">
      <w:pPr>
        <w:spacing w:line="360" w:lineRule="auto"/>
        <w:jc w:val="both"/>
        <w:rPr>
          <w:rFonts w:asciiTheme="majorBidi" w:hAnsiTheme="majorBidi" w:cstheme="majorBidi"/>
          <w:color w:val="000000" w:themeColor="text1"/>
          <w:lang w:val="id-ID"/>
        </w:rPr>
      </w:pPr>
      <w:proofErr w:type="gramStart"/>
      <w:r w:rsidRPr="00CF0429">
        <w:rPr>
          <w:rFonts w:asciiTheme="majorBidi" w:hAnsiTheme="majorBidi" w:cstheme="majorBidi"/>
          <w:color w:val="000000" w:themeColor="text1"/>
        </w:rPr>
        <w:t xml:space="preserve">Angkatan </w:t>
      </w:r>
      <w:r w:rsidR="008F1BE2" w:rsidRPr="00CF0429">
        <w:rPr>
          <w:rFonts w:asciiTheme="majorBidi" w:hAnsiTheme="majorBidi" w:cstheme="majorBidi"/>
          <w:color w:val="000000" w:themeColor="text1"/>
        </w:rPr>
        <w:t>:</w:t>
      </w:r>
      <w:proofErr w:type="gramEnd"/>
      <w:r w:rsidR="008F1BE2" w:rsidRPr="00CF0429">
        <w:rPr>
          <w:rFonts w:asciiTheme="majorBidi" w:hAnsiTheme="majorBidi" w:cstheme="majorBidi"/>
          <w:color w:val="000000" w:themeColor="text1"/>
        </w:rPr>
        <w:t xml:space="preserve"> </w:t>
      </w:r>
      <w:r w:rsidR="008F1BE2">
        <w:rPr>
          <w:rFonts w:asciiTheme="majorBidi" w:hAnsiTheme="majorBidi" w:cstheme="majorBidi"/>
          <w:color w:val="000000" w:themeColor="text1"/>
          <w:lang w:val="id-ID"/>
        </w:rPr>
        <w:t>2016</w:t>
      </w:r>
    </w:p>
    <w:p w:rsidR="003D2EED" w:rsidRPr="008F1BE2" w:rsidRDefault="003D2EED" w:rsidP="00CF0429">
      <w:pPr>
        <w:spacing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Fak</w:t>
      </w:r>
      <w:r w:rsidR="008F1BE2" w:rsidRPr="00CF0429">
        <w:rPr>
          <w:rFonts w:asciiTheme="majorBidi" w:hAnsiTheme="majorBidi" w:cstheme="majorBidi"/>
          <w:color w:val="000000" w:themeColor="text1"/>
        </w:rPr>
        <w:t xml:space="preserve">/ </w:t>
      </w:r>
      <w:proofErr w:type="gramStart"/>
      <w:r w:rsidRPr="00CF0429">
        <w:rPr>
          <w:rFonts w:asciiTheme="majorBidi" w:hAnsiTheme="majorBidi" w:cstheme="majorBidi"/>
          <w:color w:val="000000" w:themeColor="text1"/>
        </w:rPr>
        <w:t xml:space="preserve">Prodi </w:t>
      </w:r>
      <w:r w:rsidR="008F1BE2" w:rsidRPr="00CF0429">
        <w:rPr>
          <w:rFonts w:asciiTheme="majorBidi" w:hAnsiTheme="majorBidi" w:cstheme="majorBidi"/>
          <w:color w:val="000000" w:themeColor="text1"/>
        </w:rPr>
        <w:t>:</w:t>
      </w:r>
      <w:r w:rsidR="008F1BE2">
        <w:rPr>
          <w:rFonts w:asciiTheme="majorBidi" w:hAnsiTheme="majorBidi" w:cstheme="majorBidi"/>
          <w:color w:val="000000" w:themeColor="text1"/>
          <w:lang w:val="id-ID"/>
        </w:rPr>
        <w:t>S1</w:t>
      </w:r>
      <w:proofErr w:type="gramEnd"/>
      <w:r w:rsidR="008F1BE2">
        <w:rPr>
          <w:rFonts w:asciiTheme="majorBidi" w:hAnsiTheme="majorBidi" w:cstheme="majorBidi"/>
          <w:color w:val="000000" w:themeColor="text1"/>
          <w:lang w:val="id-ID"/>
        </w:rPr>
        <w:t xml:space="preserve"> Keperawatan </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E27B2B"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E27B2B" w:rsidRPr="00E27B2B" w:rsidRDefault="00E27B2B" w:rsidP="00E27B2B">
      <w:pPr>
        <w:pStyle w:val="ListParagraph"/>
        <w:spacing w:line="360" w:lineRule="auto"/>
        <w:ind w:left="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Jawab : </w:t>
      </w:r>
      <w:r w:rsidRPr="00E27B2B">
        <w:rPr>
          <w:rFonts w:ascii="Times New Roman" w:hAnsi="Times New Roman" w:cs="Times New Roman"/>
          <w:shd w:val="clear" w:color="auto" w:fill="FFFFFF"/>
        </w:rPr>
        <w:t xml:space="preserve">Muhammadiyah, sebagai gerakan keagamaan yang berwatak sosio kultural, dalam dinamika kesejarahannya selalu berusaha merespon berbagai perkembangan kehidupan dengan senantiasa merujuk pada ajaran Islam yang bersumber dari dua sumber primer ajaran ini. </w:t>
      </w:r>
      <w:proofErr w:type="gramStart"/>
      <w:r w:rsidRPr="00E27B2B">
        <w:rPr>
          <w:rFonts w:ascii="Times New Roman" w:hAnsi="Times New Roman" w:cs="Times New Roman"/>
          <w:shd w:val="clear" w:color="auto" w:fill="FFFFFF"/>
        </w:rPr>
        <w:t>Yakni Alquran dan </w:t>
      </w:r>
      <w:r w:rsidRPr="00E27B2B">
        <w:rPr>
          <w:rStyle w:val="Emphasis"/>
          <w:rFonts w:ascii="Times New Roman" w:hAnsi="Times New Roman" w:cs="Times New Roman"/>
          <w:shd w:val="clear" w:color="auto" w:fill="FFFFFF"/>
        </w:rPr>
        <w:t>Assunnah Almaqbulah.</w:t>
      </w:r>
      <w:proofErr w:type="gramEnd"/>
      <w:r w:rsidRPr="00E27B2B">
        <w:rPr>
          <w:rStyle w:val="Emphasis"/>
          <w:rFonts w:ascii="Times New Roman" w:hAnsi="Times New Roman" w:cs="Times New Roman"/>
          <w:shd w:val="clear" w:color="auto" w:fill="FFFFFF"/>
        </w:rPr>
        <w:t>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541838" w:rsidRPr="00E27B2B"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E27B2B" w:rsidRPr="00CF0429" w:rsidRDefault="00E27B2B" w:rsidP="00E27B2B">
      <w:pPr>
        <w:pStyle w:val="NormalWeb"/>
        <w:spacing w:before="0" w:beforeAutospacing="0" w:after="0" w:afterAutospacing="0"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Jawab : </w:t>
      </w:r>
      <w:r w:rsidRPr="00CF0429">
        <w:rPr>
          <w:rFonts w:asciiTheme="majorBidi" w:hAnsiTheme="majorBidi" w:cstheme="majorBidi"/>
          <w:color w:val="000000" w:themeColor="text1"/>
          <w:lang w:val="id-ID"/>
        </w:rPr>
        <w:t xml:space="preserve">Dalam ADM juga disebutkan bahwa </w:t>
      </w:r>
      <w:r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Pr="00CF0429">
        <w:rPr>
          <w:rFonts w:asciiTheme="majorBidi" w:hAnsiTheme="majorBidi" w:cstheme="majorBidi"/>
          <w:color w:val="000000" w:themeColor="text1"/>
          <w:lang w:val="id-ID"/>
        </w:rPr>
        <w:t>. Dari pernyataan di atas dapat di</w:t>
      </w:r>
      <w:r>
        <w:rPr>
          <w:rFonts w:asciiTheme="majorBidi" w:hAnsiTheme="majorBidi" w:cstheme="majorBidi"/>
          <w:color w:val="000000" w:themeColor="text1"/>
          <w:lang w:val="id-ID"/>
        </w:rPr>
        <w:t>artikan</w:t>
      </w:r>
      <w:r w:rsidRPr="00CF0429">
        <w:rPr>
          <w:rFonts w:asciiTheme="majorBidi" w:hAnsiTheme="majorBidi" w:cstheme="majorBidi"/>
          <w:color w:val="000000" w:themeColor="text1"/>
          <w:lang w:val="id-ID"/>
        </w:rPr>
        <w:t xml:space="preserve"> bahwa agama dalam Muhammadiyah didasarkan pada dua sumber utama yaitu </w:t>
      </w:r>
      <w:r w:rsidRPr="00CF0429">
        <w:rPr>
          <w:rFonts w:asciiTheme="majorBidi" w:hAnsiTheme="majorBidi" w:cstheme="majorBidi"/>
          <w:b/>
          <w:bCs/>
          <w:color w:val="000000" w:themeColor="text1"/>
          <w:lang w:val="id-ID"/>
        </w:rPr>
        <w:t>Al-Quran</w:t>
      </w:r>
      <w:r w:rsidRPr="00CF0429">
        <w:rPr>
          <w:rFonts w:asciiTheme="majorBidi" w:hAnsiTheme="majorBidi" w:cstheme="majorBidi"/>
          <w:color w:val="000000" w:themeColor="text1"/>
          <w:lang w:val="id-ID"/>
        </w:rPr>
        <w:t xml:space="preserve"> dan </w:t>
      </w:r>
      <w:r w:rsidRPr="00CF0429">
        <w:rPr>
          <w:rFonts w:asciiTheme="majorBidi" w:hAnsiTheme="majorBidi" w:cstheme="majorBidi"/>
          <w:b/>
          <w:bCs/>
          <w:color w:val="000000" w:themeColor="text1"/>
          <w:lang w:val="id-ID"/>
        </w:rPr>
        <w:t>As-Sunnah Al-Maqbulah</w:t>
      </w:r>
      <w:r w:rsidRPr="00CF0429">
        <w:rPr>
          <w:rFonts w:asciiTheme="majorBidi" w:hAnsiTheme="majorBidi" w:cstheme="majorBidi"/>
          <w:color w:val="000000" w:themeColor="text1"/>
          <w:lang w:val="id-ID"/>
        </w:rPr>
        <w:t xml:space="preserve"> yang berisi perintah dan larangan, dilaksanakan dengan dakwah </w:t>
      </w:r>
      <w:r w:rsidRPr="00CF0429">
        <w:rPr>
          <w:rFonts w:asciiTheme="majorBidi" w:hAnsiTheme="majorBidi" w:cstheme="majorBidi"/>
          <w:b/>
          <w:bCs/>
          <w:color w:val="000000" w:themeColor="text1"/>
          <w:lang w:val="id-ID"/>
        </w:rPr>
        <w:t>amar ma`ruf dan nahi munkar</w:t>
      </w:r>
      <w:r w:rsidRPr="00CF0429">
        <w:rPr>
          <w:rFonts w:asciiTheme="majorBidi" w:hAnsiTheme="majorBidi" w:cstheme="majorBidi"/>
          <w:color w:val="000000" w:themeColor="text1"/>
          <w:lang w:val="id-ID"/>
        </w:rPr>
        <w:t xml:space="preserve"> dan </w:t>
      </w:r>
      <w:r w:rsidRPr="00CF0429">
        <w:rPr>
          <w:rFonts w:asciiTheme="majorBidi" w:hAnsiTheme="majorBidi" w:cstheme="majorBidi"/>
          <w:b/>
          <w:bCs/>
          <w:color w:val="000000" w:themeColor="text1"/>
          <w:lang w:val="id-ID"/>
        </w:rPr>
        <w:t>tajdid</w:t>
      </w:r>
      <w:r w:rsidRPr="00CF0429">
        <w:rPr>
          <w:rFonts w:asciiTheme="majorBidi" w:hAnsiTheme="majorBidi" w:cstheme="majorBidi"/>
          <w:color w:val="000000" w:themeColor="text1"/>
          <w:lang w:val="id-ID"/>
        </w:rPr>
        <w:t xml:space="preserve">, untuk mencapai </w:t>
      </w:r>
      <w:r w:rsidRPr="00CF0429">
        <w:rPr>
          <w:rFonts w:asciiTheme="majorBidi" w:hAnsiTheme="majorBidi" w:cstheme="majorBidi"/>
          <w:b/>
          <w:bCs/>
          <w:color w:val="000000" w:themeColor="text1"/>
          <w:lang w:val="id-ID"/>
        </w:rPr>
        <w:t>terwujudnya masyarakat Islam yang sebenar-benarnya</w:t>
      </w:r>
      <w:r w:rsidRPr="00CF0429">
        <w:rPr>
          <w:rFonts w:asciiTheme="majorBidi" w:hAnsiTheme="majorBidi" w:cstheme="majorBidi"/>
          <w:color w:val="000000" w:themeColor="text1"/>
          <w:lang w:val="id-ID"/>
        </w:rPr>
        <w:t>.</w:t>
      </w:r>
    </w:p>
    <w:p w:rsidR="00E27B2B" w:rsidRPr="00E27B2B" w:rsidRDefault="00E27B2B" w:rsidP="00E27B2B">
      <w:pPr>
        <w:pStyle w:val="ListParagraph"/>
        <w:spacing w:line="360" w:lineRule="auto"/>
        <w:ind w:left="0"/>
        <w:jc w:val="both"/>
        <w:rPr>
          <w:rFonts w:asciiTheme="majorBidi" w:hAnsiTheme="majorBidi" w:cstheme="majorBidi"/>
          <w:color w:val="000000" w:themeColor="text1"/>
          <w:lang w:val="id-ID"/>
        </w:rPr>
      </w:pPr>
      <w:proofErr w:type="gramStart"/>
      <w:r>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Islam dalam Muhammadiyah adalah kembali kepada Al Qur’an dan As Sunnah.</w:t>
      </w:r>
      <w:proofErr w:type="gramEnd"/>
    </w:p>
    <w:p w:rsidR="003D2EED" w:rsidRPr="00E27B2B"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E27B2B" w:rsidRPr="00E27B2B" w:rsidRDefault="00E27B2B" w:rsidP="00E27B2B">
      <w:pPr>
        <w:pStyle w:val="NormalWeb"/>
        <w:spacing w:before="0" w:beforeAutospacing="0" w:after="0" w:afterAutospacing="0"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Jawab :</w:t>
      </w:r>
      <w:r w:rsidRPr="00E27B2B">
        <w:rPr>
          <w:rFonts w:asciiTheme="majorBidi" w:hAnsiTheme="majorBidi" w:cstheme="majorBidi"/>
          <w:color w:val="000000" w:themeColor="text1"/>
        </w:rPr>
        <w:t xml:space="preserve"> </w:t>
      </w:r>
      <w:r>
        <w:rPr>
          <w:rFonts w:asciiTheme="majorBidi" w:hAnsiTheme="majorBidi" w:cstheme="majorBidi"/>
          <w:color w:val="000000" w:themeColor="text1"/>
          <w:lang w:val="id-ID"/>
        </w:rPr>
        <w:t xml:space="preserve">karena sebagai </w:t>
      </w:r>
      <w:r w:rsidRPr="00CF0429">
        <w:rPr>
          <w:rFonts w:asciiTheme="majorBidi" w:hAnsiTheme="majorBidi" w:cstheme="majorBidi"/>
          <w:color w:val="000000" w:themeColor="text1"/>
        </w:rPr>
        <w:t>Dasar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xml:space="preserve">, maka dipergunakanlah alasan dengan jalan ijtihad dan istinbath dari nash yang ada melalui persamaan </w:t>
      </w:r>
      <w:r w:rsidRPr="00CF0429">
        <w:rPr>
          <w:rFonts w:asciiTheme="majorBidi" w:hAnsiTheme="majorBidi" w:cstheme="majorBidi"/>
          <w:color w:val="000000" w:themeColor="text1"/>
        </w:rPr>
        <w:lastRenderedPageBreak/>
        <w:t>‘illat, sebagaimana telah dilakukan oleh ‘ulama salaf dan Khalaf (Kitab Masalah Lima, Al-Masail Al-Khams tentang Qiyas).</w:t>
      </w:r>
    </w:p>
    <w:p w:rsidR="00541838" w:rsidRPr="00E27B2B"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E27B2B" w:rsidRPr="00E27B2B" w:rsidRDefault="00E27B2B" w:rsidP="00E27B2B">
      <w:pPr>
        <w:pStyle w:val="ListParagraph"/>
        <w:spacing w:line="360" w:lineRule="auto"/>
        <w:ind w:left="0"/>
        <w:jc w:val="both"/>
        <w:rPr>
          <w:rFonts w:asciiTheme="majorBidi" w:hAnsiTheme="majorBidi" w:cstheme="majorBidi"/>
          <w:color w:val="000000" w:themeColor="text1"/>
        </w:rPr>
      </w:pPr>
      <w:r>
        <w:rPr>
          <w:rFonts w:asciiTheme="majorBidi" w:hAnsiTheme="majorBidi" w:cstheme="majorBidi"/>
          <w:color w:val="000000" w:themeColor="text1"/>
          <w:lang w:val="id-ID"/>
        </w:rPr>
        <w:t>Jawab : - bidang akidah, bidang ukum, bidang akhlak, bidang mu’amalah dan dunyawiah</w:t>
      </w:r>
    </w:p>
    <w:p w:rsidR="00E27B2B" w:rsidRPr="00CF0429" w:rsidRDefault="00E27B2B" w:rsidP="00E27B2B">
      <w:pPr>
        <w:pStyle w:val="ListParagraph"/>
        <w:spacing w:line="360" w:lineRule="auto"/>
        <w:ind w:left="0"/>
        <w:jc w:val="both"/>
        <w:rPr>
          <w:rFonts w:asciiTheme="majorBidi" w:hAnsiTheme="majorBidi" w:cstheme="majorBidi"/>
          <w:color w:val="000000" w:themeColor="text1"/>
        </w:rPr>
      </w:pPr>
    </w:p>
    <w:p w:rsidR="003D2EED" w:rsidRPr="00E27B2B"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8F1BE2" w:rsidRDefault="00E27B2B" w:rsidP="008F1BE2">
      <w:pPr>
        <w:spacing w:line="360" w:lineRule="auto"/>
        <w:jc w:val="both"/>
        <w:rPr>
          <w:rFonts w:asciiTheme="majorBidi" w:hAnsiTheme="majorBidi" w:cstheme="majorBidi"/>
          <w:color w:val="000000" w:themeColor="text1"/>
          <w:lang w:val="id-ID"/>
        </w:rPr>
      </w:pPr>
      <w:r w:rsidRPr="008F1BE2">
        <w:rPr>
          <w:rFonts w:asciiTheme="majorBidi" w:hAnsiTheme="majorBidi" w:cstheme="majorBidi"/>
          <w:color w:val="000000" w:themeColor="text1"/>
          <w:lang w:val="id-ID"/>
        </w:rPr>
        <w:t xml:space="preserve">Jawab : </w:t>
      </w:r>
    </w:p>
    <w:p w:rsidR="008F1BE2" w:rsidRPr="008F1BE2" w:rsidRDefault="008F1BE2" w:rsidP="008F1BE2">
      <w:pPr>
        <w:pStyle w:val="ListParagraph"/>
        <w:numPr>
          <w:ilvl w:val="0"/>
          <w:numId w:val="17"/>
        </w:numPr>
        <w:spacing w:line="360" w:lineRule="auto"/>
        <w:jc w:val="both"/>
        <w:rPr>
          <w:rFonts w:asciiTheme="majorBidi" w:hAnsiTheme="majorBidi" w:cstheme="majorBidi"/>
          <w:color w:val="000000" w:themeColor="text1"/>
        </w:rPr>
      </w:pPr>
      <w:r w:rsidRPr="008F1BE2">
        <w:rPr>
          <w:rFonts w:asciiTheme="majorBidi" w:hAnsiTheme="majorBidi" w:cstheme="majorBidi"/>
          <w:color w:val="000000" w:themeColor="text1"/>
        </w:rPr>
        <w:t>Ijtihad Bayan : yaitu ijtihad terhadap ayat yang mujmal baik karena belum jelas maksud lafadz yang dimaksud, maupun karena lafadz itu mengandung makna ganda, mengandung arti musytarak ataupun karena pengertian lafadz dalam ungkapan yang konteksnya mempunyai arti yang jumbuh (mutasyabih) ataupun adanya beberapa dalil yang bertentangan (ta’arrudl) dalam hal terakhir digunakan cara jama’ dan talfiq.</w:t>
      </w:r>
    </w:p>
    <w:p w:rsidR="008F1BE2" w:rsidRPr="008F1BE2" w:rsidRDefault="008F1BE2" w:rsidP="008F1BE2">
      <w:pPr>
        <w:pStyle w:val="ListParagraph"/>
        <w:numPr>
          <w:ilvl w:val="0"/>
          <w:numId w:val="17"/>
        </w:numPr>
        <w:spacing w:line="360" w:lineRule="auto"/>
        <w:jc w:val="both"/>
        <w:rPr>
          <w:rFonts w:asciiTheme="majorBidi" w:hAnsiTheme="majorBidi" w:cstheme="majorBidi"/>
          <w:color w:val="000000" w:themeColor="text1"/>
        </w:rPr>
      </w:pPr>
      <w:r w:rsidRPr="008F1BE2">
        <w:rPr>
          <w:rStyle w:val="Emphasis"/>
          <w:rFonts w:asciiTheme="majorBidi" w:hAnsiTheme="majorBidi" w:cstheme="majorBidi"/>
          <w:color w:val="000000" w:themeColor="text1"/>
        </w:rPr>
        <w:t>Ijma’</w:t>
      </w:r>
      <w:r w:rsidRPr="008F1BE2">
        <w:rPr>
          <w:rFonts w:asciiTheme="majorBidi" w:hAnsiTheme="majorBidi" w:cstheme="majorBidi"/>
          <w:color w:val="000000" w:themeColor="text1"/>
        </w:rPr>
        <w:t xml:space="preserve">: Kesepakatan para imam mujtahid di kalangan umat Islam tentang suatu hukum Islam pada suatu masa (masa sahabat setelah Rasulullah wafat). </w:t>
      </w:r>
      <w:proofErr w:type="gramStart"/>
      <w:r w:rsidRPr="008F1BE2">
        <w:rPr>
          <w:rFonts w:asciiTheme="majorBidi" w:hAnsiTheme="majorBidi" w:cstheme="majorBidi"/>
          <w:color w:val="000000" w:themeColor="text1"/>
        </w:rPr>
        <w:t>Menurut kebanyakan para ulama, hasil </w:t>
      </w:r>
      <w:r w:rsidRPr="008F1BE2">
        <w:rPr>
          <w:rStyle w:val="Emphasis"/>
          <w:rFonts w:asciiTheme="majorBidi" w:hAnsiTheme="majorBidi" w:cstheme="majorBidi"/>
          <w:color w:val="000000" w:themeColor="text1"/>
        </w:rPr>
        <w:t>ijma’</w:t>
      </w:r>
      <w:r w:rsidRPr="008F1BE2">
        <w:rPr>
          <w:rFonts w:asciiTheme="majorBidi" w:hAnsiTheme="majorBidi" w:cstheme="majorBidi"/>
          <w:color w:val="000000" w:themeColor="text1"/>
        </w:rPr>
        <w:t> dipandang sebagai salah satu sumber hukum Islam sesudah Alquran dan Sunnah.</w:t>
      </w:r>
      <w:proofErr w:type="gramEnd"/>
      <w:r w:rsidRPr="008F1BE2">
        <w:rPr>
          <w:rFonts w:asciiTheme="majorBidi" w:hAnsiTheme="majorBidi" w:cstheme="majorBidi"/>
          <w:color w:val="000000" w:themeColor="text1"/>
        </w:rPr>
        <w:t xml:space="preserve"> Pemikiran tentang </w:t>
      </w:r>
      <w:r w:rsidRPr="008F1BE2">
        <w:rPr>
          <w:rStyle w:val="Emphasis"/>
          <w:rFonts w:asciiTheme="majorBidi" w:hAnsiTheme="majorBidi" w:cstheme="majorBidi"/>
          <w:color w:val="000000" w:themeColor="text1"/>
        </w:rPr>
        <w:t>ijma’</w:t>
      </w:r>
      <w:r w:rsidRPr="008F1BE2">
        <w:rPr>
          <w:rFonts w:asciiTheme="majorBidi" w:hAnsiTheme="majorBidi" w:cstheme="majorBidi"/>
          <w:color w:val="000000" w:themeColor="text1"/>
        </w:rPr>
        <w:t> berkembang sejak masa sahabat sampai masa sekarang, sampai masa para imam mujtahid.</w:t>
      </w:r>
    </w:p>
    <w:p w:rsidR="008F1BE2" w:rsidRPr="008F1BE2" w:rsidRDefault="008F1BE2" w:rsidP="008F1BE2">
      <w:pPr>
        <w:pStyle w:val="ListParagraph"/>
        <w:numPr>
          <w:ilvl w:val="0"/>
          <w:numId w:val="17"/>
        </w:numPr>
        <w:spacing w:line="360" w:lineRule="auto"/>
        <w:jc w:val="both"/>
        <w:rPr>
          <w:rFonts w:asciiTheme="majorBidi" w:hAnsiTheme="majorBidi" w:cstheme="majorBidi"/>
          <w:color w:val="000000" w:themeColor="text1"/>
        </w:rPr>
      </w:pPr>
      <w:r w:rsidRPr="008F1BE2">
        <w:rPr>
          <w:rStyle w:val="Emphasis"/>
          <w:rFonts w:asciiTheme="majorBidi" w:hAnsiTheme="majorBidi" w:cstheme="majorBidi"/>
          <w:color w:val="000000" w:themeColor="text1"/>
        </w:rPr>
        <w:t>Qiyas</w:t>
      </w:r>
      <w:r w:rsidRPr="008F1BE2">
        <w:rPr>
          <w:rFonts w:asciiTheme="majorBidi" w:hAnsiTheme="majorBidi" w:cstheme="majorBidi"/>
          <w:color w:val="000000" w:themeColor="text1"/>
        </w:rPr>
        <w:t>: Menyamakan sesuatu hal yang tidak disebutkan hukumnya di dalam </w:t>
      </w:r>
      <w:proofErr w:type="gramStart"/>
      <w:r w:rsidRPr="008F1BE2">
        <w:rPr>
          <w:rStyle w:val="Emphasis"/>
          <w:rFonts w:asciiTheme="majorBidi" w:hAnsiTheme="majorBidi" w:cstheme="majorBidi"/>
          <w:color w:val="000000" w:themeColor="text1"/>
        </w:rPr>
        <w:t>nash</w:t>
      </w:r>
      <w:proofErr w:type="gramEnd"/>
      <w:r w:rsidRPr="008F1BE2">
        <w:rPr>
          <w:rFonts w:asciiTheme="majorBidi" w:hAnsiTheme="majorBidi" w:cstheme="majorBidi"/>
          <w:color w:val="000000" w:themeColor="text1"/>
        </w:rPr>
        <w:t>, dengan hal yang disebutkan hukumnya di dalam </w:t>
      </w:r>
      <w:r w:rsidRPr="008F1BE2">
        <w:rPr>
          <w:rStyle w:val="Emphasis"/>
          <w:rFonts w:asciiTheme="majorBidi" w:hAnsiTheme="majorBidi" w:cstheme="majorBidi"/>
          <w:color w:val="000000" w:themeColor="text1"/>
        </w:rPr>
        <w:t>nash</w:t>
      </w:r>
      <w:r w:rsidRPr="008F1BE2">
        <w:rPr>
          <w:rFonts w:asciiTheme="majorBidi" w:hAnsiTheme="majorBidi" w:cstheme="majorBidi"/>
          <w:color w:val="000000" w:themeColor="text1"/>
        </w:rPr>
        <w:t>, karena adanya persamaan </w:t>
      </w:r>
      <w:r w:rsidRPr="008F1BE2">
        <w:rPr>
          <w:rStyle w:val="Emphasis"/>
          <w:rFonts w:asciiTheme="majorBidi" w:hAnsiTheme="majorBidi" w:cstheme="majorBidi"/>
          <w:color w:val="000000" w:themeColor="text1"/>
        </w:rPr>
        <w:t>illat</w:t>
      </w:r>
      <w:r w:rsidRPr="008F1BE2">
        <w:rPr>
          <w:rFonts w:asciiTheme="majorBidi" w:hAnsiTheme="majorBidi" w:cstheme="majorBidi"/>
          <w:color w:val="000000" w:themeColor="text1"/>
        </w:rPr>
        <w:t xml:space="preserve"> (sebab) hukum pada dua macam hal tersebut, contoh: hukum wajib zakat atas padi yang dikenakan pada gandum. </w:t>
      </w:r>
      <w:proofErr w:type="gramStart"/>
      <w:r w:rsidRPr="008F1BE2">
        <w:rPr>
          <w:rFonts w:asciiTheme="majorBidi" w:hAnsiTheme="majorBidi" w:cstheme="majorBidi"/>
          <w:color w:val="000000" w:themeColor="text1"/>
        </w:rPr>
        <w:t>Untuk Qiyas digunakan dalam bidang muamalah duniawiyah, tidak berlaku untuk bidang ibadah mahdlah.</w:t>
      </w:r>
      <w:proofErr w:type="gramEnd"/>
      <w:r w:rsidRPr="008F1BE2">
        <w:rPr>
          <w:rFonts w:asciiTheme="majorBidi" w:hAnsiTheme="majorBidi" w:cstheme="majorBidi"/>
          <w:color w:val="000000" w:themeColor="text1"/>
        </w:rPr>
        <w:t xml:space="preserve"> La qiyasa fil ibadah.</w:t>
      </w:r>
    </w:p>
    <w:p w:rsidR="008F1BE2" w:rsidRPr="008F1BE2" w:rsidRDefault="008F1BE2" w:rsidP="008F1BE2">
      <w:pPr>
        <w:pStyle w:val="ListParagraph"/>
        <w:numPr>
          <w:ilvl w:val="0"/>
          <w:numId w:val="17"/>
        </w:numPr>
        <w:spacing w:line="360" w:lineRule="auto"/>
        <w:jc w:val="both"/>
        <w:rPr>
          <w:rFonts w:asciiTheme="majorBidi" w:hAnsiTheme="majorBidi" w:cstheme="majorBidi"/>
          <w:color w:val="000000" w:themeColor="text1"/>
        </w:rPr>
      </w:pPr>
      <w:r w:rsidRPr="008F1BE2">
        <w:rPr>
          <w:rStyle w:val="Emphasis"/>
          <w:rFonts w:asciiTheme="majorBidi" w:hAnsiTheme="majorBidi" w:cstheme="majorBidi"/>
          <w:color w:val="000000" w:themeColor="text1"/>
        </w:rPr>
        <w:t>Maslahah</w:t>
      </w:r>
      <w:r w:rsidRPr="008F1BE2">
        <w:rPr>
          <w:rFonts w:asciiTheme="majorBidi" w:hAnsiTheme="majorBidi" w:cstheme="majorBidi"/>
          <w:color w:val="000000" w:themeColor="text1"/>
        </w:rPr>
        <w:t>, atau </w:t>
      </w:r>
      <w:r w:rsidRPr="008F1BE2">
        <w:rPr>
          <w:rStyle w:val="Emphasis"/>
          <w:rFonts w:asciiTheme="majorBidi" w:hAnsiTheme="majorBidi" w:cstheme="majorBidi"/>
          <w:color w:val="000000" w:themeColor="text1"/>
        </w:rPr>
        <w:t>Istislah</w:t>
      </w:r>
      <w:r w:rsidRPr="008F1BE2">
        <w:rPr>
          <w:rFonts w:asciiTheme="majorBidi" w:hAnsiTheme="majorBidi" w:cstheme="majorBidi"/>
          <w:color w:val="000000" w:themeColor="text1"/>
        </w:rPr>
        <w:t xml:space="preserve">. Yaitu, menetapkan hukum yang </w:t>
      </w:r>
      <w:proofErr w:type="gramStart"/>
      <w:r w:rsidRPr="008F1BE2">
        <w:rPr>
          <w:rFonts w:asciiTheme="majorBidi" w:hAnsiTheme="majorBidi" w:cstheme="majorBidi"/>
          <w:color w:val="000000" w:themeColor="text1"/>
        </w:rPr>
        <w:t>sama</w:t>
      </w:r>
      <w:proofErr w:type="gramEnd"/>
      <w:r w:rsidRPr="008F1BE2">
        <w:rPr>
          <w:rFonts w:asciiTheme="majorBidi" w:hAnsiTheme="majorBidi" w:cstheme="majorBidi"/>
          <w:color w:val="000000" w:themeColor="text1"/>
        </w:rPr>
        <w:t xml:space="preserve"> sekali tidak disebutkan dalam </w:t>
      </w:r>
      <w:r w:rsidRPr="008F1BE2">
        <w:rPr>
          <w:rStyle w:val="Emphasis"/>
          <w:rFonts w:asciiTheme="majorBidi" w:hAnsiTheme="majorBidi" w:cstheme="majorBidi"/>
          <w:color w:val="000000" w:themeColor="text1"/>
        </w:rPr>
        <w:t>nash</w:t>
      </w:r>
      <w:r w:rsidRPr="008F1BE2">
        <w:rPr>
          <w:rFonts w:asciiTheme="majorBidi" w:hAnsiTheme="majorBidi" w:cstheme="majorBidi"/>
          <w:color w:val="000000" w:themeColor="text1"/>
        </w:rPr>
        <w:t> dengan pertimbangan untuk kepentingan hidup manusia yang bersendikan mamfaat dan menghindarkan </w:t>
      </w:r>
      <w:r w:rsidRPr="008F1BE2">
        <w:rPr>
          <w:rStyle w:val="Emphasis"/>
          <w:rFonts w:asciiTheme="majorBidi" w:hAnsiTheme="majorBidi" w:cstheme="majorBidi"/>
          <w:color w:val="000000" w:themeColor="text1"/>
        </w:rPr>
        <w:t>madlarat</w:t>
      </w:r>
      <w:r w:rsidRPr="008F1BE2">
        <w:rPr>
          <w:rFonts w:asciiTheme="majorBidi" w:hAnsiTheme="majorBidi" w:cstheme="majorBidi"/>
          <w:color w:val="000000" w:themeColor="text1"/>
        </w:rPr>
        <w:t>. Contoh, mengharuskan pernikahan dicatat, tidak ada satu </w:t>
      </w:r>
      <w:proofErr w:type="gramStart"/>
      <w:r w:rsidRPr="008F1BE2">
        <w:rPr>
          <w:rStyle w:val="Emphasis"/>
          <w:rFonts w:asciiTheme="majorBidi" w:hAnsiTheme="majorBidi" w:cstheme="majorBidi"/>
          <w:color w:val="000000" w:themeColor="text1"/>
        </w:rPr>
        <w:t>nash</w:t>
      </w:r>
      <w:proofErr w:type="gramEnd"/>
      <w:r w:rsidRPr="008F1BE2">
        <w:rPr>
          <w:rFonts w:asciiTheme="majorBidi" w:hAnsiTheme="majorBidi" w:cstheme="majorBidi"/>
          <w:color w:val="000000" w:themeColor="text1"/>
        </w:rPr>
        <w:t xml:space="preserve"> pun yang membenarkan atau membatalkan. </w:t>
      </w:r>
      <w:proofErr w:type="gramStart"/>
      <w:r w:rsidRPr="008F1BE2">
        <w:rPr>
          <w:rFonts w:asciiTheme="majorBidi" w:hAnsiTheme="majorBidi" w:cstheme="majorBidi"/>
          <w:color w:val="000000" w:themeColor="text1"/>
        </w:rPr>
        <w:t>Hal ini dilakukan untuk memperoleh kepastian hukum atas terjadinya perkawinan yang dipergunakan oleh negara.</w:t>
      </w:r>
      <w:proofErr w:type="gramEnd"/>
      <w:r w:rsidRPr="008F1BE2">
        <w:rPr>
          <w:rFonts w:asciiTheme="majorBidi" w:hAnsiTheme="majorBidi" w:cstheme="majorBidi"/>
          <w:color w:val="000000" w:themeColor="text1"/>
        </w:rPr>
        <w:t xml:space="preserve"> </w:t>
      </w:r>
      <w:proofErr w:type="gramStart"/>
      <w:r w:rsidRPr="008F1BE2">
        <w:rPr>
          <w:rFonts w:asciiTheme="majorBidi" w:hAnsiTheme="majorBidi" w:cstheme="majorBidi"/>
          <w:color w:val="000000" w:themeColor="text1"/>
        </w:rPr>
        <w:t>Hal ini dilakukan untuk melindungi hak suami istri.</w:t>
      </w:r>
      <w:proofErr w:type="gramEnd"/>
      <w:r w:rsidRPr="008F1BE2">
        <w:rPr>
          <w:rFonts w:asciiTheme="majorBidi" w:hAnsiTheme="majorBidi" w:cstheme="majorBidi"/>
          <w:color w:val="000000" w:themeColor="text1"/>
        </w:rPr>
        <w:t xml:space="preserve"> Tanpa pencatatan negara tidak mempunyai dokumen otentik, atas terjadinya perkawinan.</w:t>
      </w:r>
    </w:p>
    <w:p w:rsidR="008F1BE2" w:rsidRPr="008F1BE2" w:rsidRDefault="008F1BE2" w:rsidP="008F1BE2">
      <w:pPr>
        <w:pStyle w:val="ListParagraph"/>
        <w:numPr>
          <w:ilvl w:val="0"/>
          <w:numId w:val="17"/>
        </w:numPr>
        <w:spacing w:line="360" w:lineRule="auto"/>
        <w:jc w:val="both"/>
        <w:rPr>
          <w:rFonts w:asciiTheme="majorBidi" w:hAnsiTheme="majorBidi" w:cstheme="majorBidi"/>
          <w:color w:val="000000" w:themeColor="text1"/>
        </w:rPr>
      </w:pPr>
      <w:r w:rsidRPr="008F1BE2">
        <w:rPr>
          <w:rStyle w:val="Emphasis"/>
          <w:rFonts w:asciiTheme="majorBidi" w:hAnsiTheme="majorBidi" w:cstheme="majorBidi"/>
          <w:color w:val="000000" w:themeColor="text1"/>
        </w:rPr>
        <w:t>Istihsan</w:t>
      </w:r>
      <w:r w:rsidRPr="008F1BE2">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8F1BE2">
        <w:rPr>
          <w:rFonts w:asciiTheme="majorBidi" w:hAnsiTheme="majorBidi" w:cstheme="majorBidi"/>
          <w:color w:val="000000" w:themeColor="text1"/>
        </w:rPr>
        <w:t>cara</w:t>
      </w:r>
      <w:proofErr w:type="gramEnd"/>
      <w:r w:rsidRPr="008F1BE2">
        <w:rPr>
          <w:rFonts w:asciiTheme="majorBidi" w:hAnsiTheme="majorBidi" w:cstheme="majorBidi"/>
          <w:color w:val="000000" w:themeColor="text1"/>
        </w:rPr>
        <w:t xml:space="preserve"> dijual, diwariskan, atau dihibahkan. </w:t>
      </w:r>
      <w:proofErr w:type="gramStart"/>
      <w:r w:rsidRPr="008F1BE2">
        <w:rPr>
          <w:rFonts w:asciiTheme="majorBidi" w:hAnsiTheme="majorBidi" w:cstheme="majorBidi"/>
          <w:color w:val="000000" w:themeColor="text1"/>
        </w:rPr>
        <w:t xml:space="preserve">Tetapi kalau tujuan perwakafan (tujuan syar’i) tidak mungkin tercapai, larangan tersebut dapat diabaikan, untuk </w:t>
      </w:r>
      <w:r w:rsidRPr="008F1BE2">
        <w:rPr>
          <w:rFonts w:asciiTheme="majorBidi" w:hAnsiTheme="majorBidi" w:cstheme="majorBidi"/>
          <w:color w:val="000000" w:themeColor="text1"/>
        </w:rPr>
        <w:lastRenderedPageBreak/>
        <w:t>dipindah tangankan, atau dijual, diwariskan atau dihibahkan.</w:t>
      </w:r>
      <w:proofErr w:type="gramEnd"/>
      <w:r w:rsidRPr="008F1BE2">
        <w:rPr>
          <w:rFonts w:asciiTheme="majorBidi" w:hAnsiTheme="majorBidi" w:cstheme="majorBidi"/>
          <w:color w:val="000000" w:themeColor="text1"/>
        </w:rPr>
        <w:t xml:space="preserve"> </w:t>
      </w:r>
      <w:proofErr w:type="gramStart"/>
      <w:r w:rsidRPr="008F1BE2">
        <w:rPr>
          <w:rFonts w:asciiTheme="majorBidi" w:hAnsiTheme="majorBidi" w:cstheme="majorBidi"/>
          <w:color w:val="000000" w:themeColor="text1"/>
        </w:rPr>
        <w:t>Contoh :</w:t>
      </w:r>
      <w:proofErr w:type="gramEnd"/>
      <w:r w:rsidRPr="008F1BE2">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E27B2B" w:rsidRPr="00CF0429" w:rsidRDefault="00E27B2B" w:rsidP="00E27B2B">
      <w:pPr>
        <w:pStyle w:val="ListParagraph"/>
        <w:spacing w:line="360" w:lineRule="auto"/>
        <w:ind w:left="0"/>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bookmarkStart w:id="0" w:name="_GoBack"/>
      <w:bookmarkEnd w:id="0"/>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F1BE2" w:rsidRDefault="008F1BE2"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F1BE2" w:rsidRDefault="008F1BE2"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F1BE2" w:rsidRDefault="008F1BE2"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8F1BE2" w:rsidRDefault="008F1BE2"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8F1BE2" w:rsidRDefault="008F1BE2"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A82"/>
    <w:multiLevelType w:val="hybridMultilevel"/>
    <w:tmpl w:val="5DDE887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FE16A3"/>
    <w:multiLevelType w:val="hybridMultilevel"/>
    <w:tmpl w:val="93F24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2"/>
  </w:num>
  <w:num w:numId="4">
    <w:abstractNumId w:val="10"/>
  </w:num>
  <w:num w:numId="5">
    <w:abstractNumId w:val="4"/>
  </w:num>
  <w:num w:numId="6">
    <w:abstractNumId w:val="3"/>
  </w:num>
  <w:num w:numId="7">
    <w:abstractNumId w:val="7"/>
  </w:num>
  <w:num w:numId="8">
    <w:abstractNumId w:val="8"/>
  </w:num>
  <w:num w:numId="9">
    <w:abstractNumId w:val="9"/>
  </w:num>
  <w:num w:numId="10">
    <w:abstractNumId w:val="6"/>
  </w:num>
  <w:num w:numId="11">
    <w:abstractNumId w:val="5"/>
  </w:num>
  <w:num w:numId="12">
    <w:abstractNumId w:val="15"/>
  </w:num>
  <w:num w:numId="13">
    <w:abstractNumId w:val="13"/>
  </w:num>
  <w:num w:numId="14">
    <w:abstractNumId w:val="1"/>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A23C0"/>
    <w:rsid w:val="000B1A9E"/>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8F1BE2"/>
    <w:rsid w:val="00934BC9"/>
    <w:rsid w:val="009E07EC"/>
    <w:rsid w:val="00A15E6E"/>
    <w:rsid w:val="00A96824"/>
    <w:rsid w:val="00AB2A35"/>
    <w:rsid w:val="00C37ADD"/>
    <w:rsid w:val="00CF0429"/>
    <w:rsid w:val="00D82C92"/>
    <w:rsid w:val="00E044D0"/>
    <w:rsid w:val="00E27B2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A6C20-6626-4897-9A5B-E8292653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Personal</cp:lastModifiedBy>
  <cp:revision>2</cp:revision>
  <dcterms:created xsi:type="dcterms:W3CDTF">2020-09-02T05:15:00Z</dcterms:created>
  <dcterms:modified xsi:type="dcterms:W3CDTF">2020-09-02T05:15:00Z</dcterms:modified>
</cp:coreProperties>
</file>