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outlineLvl w:val="0"/>
        <w:rPr>
          <w:rFonts w:ascii="宋体" w:cs="宋体" w:eastAsia="Times New Roman" w:hAnsi="宋体"/>
          <w:b/>
          <w:bCs/>
          <w:color w:val="000000"/>
          <w:kern w:val="36"/>
          <w:lang w:val="en-ID" w:eastAsia="en-GB"/>
        </w:rPr>
      </w:pPr>
      <w:r>
        <w:rPr>
          <w:rFonts w:ascii="宋体" w:cs="宋体" w:eastAsia="Times New Roman" w:hAnsi="宋体"/>
          <w:b/>
          <w:bCs/>
          <w:color w:val="000000"/>
          <w:kern w:val="36"/>
          <w:lang w:val="id-ID" w:eastAsia="en-GB"/>
        </w:rPr>
        <w:t>P</w:t>
      </w:r>
      <w:r>
        <w:rPr>
          <w:rFonts w:ascii="宋体" w:cs="宋体" w:eastAsia="Times New Roman" w:hAnsi="宋体"/>
          <w:b/>
          <w:bCs/>
          <w:color w:val="000000"/>
          <w:kern w:val="36"/>
          <w:lang w:val="en-ID" w:eastAsia="en-GB"/>
        </w:rPr>
        <w:t xml:space="preserve">aham Agama </w:t>
      </w:r>
      <w:r>
        <w:rPr>
          <w:rFonts w:ascii="宋体" w:cs="宋体" w:eastAsia="Times New Roman" w:hAnsi="宋体"/>
          <w:b/>
          <w:bCs/>
          <w:color w:val="000000"/>
          <w:kern w:val="36"/>
          <w:lang w:val="en-ID" w:eastAsia="en-GB"/>
        </w:rPr>
        <w:t>Dalam</w:t>
      </w:r>
      <w:r>
        <w:rPr>
          <w:rFonts w:ascii="宋体" w:cs="宋体" w:eastAsia="Times New Roman" w:hAnsi="宋体"/>
          <w:b/>
          <w:bCs/>
          <w:color w:val="000000"/>
          <w:kern w:val="36"/>
          <w:lang w:val="en-ID" w:eastAsia="en-GB"/>
        </w:rPr>
        <w:t xml:space="preserve"> Muhammadiyah</w:t>
      </w:r>
    </w:p>
    <w:p>
      <w:pPr>
        <w:pStyle w:val="style2"/>
        <w:spacing w:before="0" w:lineRule="auto" w:line="360"/>
        <w:jc w:val="both"/>
        <w:rPr>
          <w:rFonts w:ascii="宋体" w:hAnsi="宋体"/>
          <w:color w:val="000000"/>
          <w:sz w:val="24"/>
          <w:szCs w:val="24"/>
        </w:rPr>
      </w:pPr>
      <w:r>
        <w:rPr>
          <w:rStyle w:val="style87"/>
          <w:rFonts w:ascii="宋体" w:hAnsi="宋体"/>
          <w:color w:val="000000"/>
          <w:sz w:val="24"/>
          <w:szCs w:val="24"/>
        </w:rPr>
        <w:t>A. Pendahuluan</w:t>
      </w:r>
    </w:p>
    <w:p>
      <w:pPr>
        <w:pStyle w:val="style94"/>
        <w:spacing w:before="0" w:beforeAutospacing="false" w:after="0" w:afterAutospacing="false" w:lineRule="auto" w:line="360"/>
        <w:jc w:val="both"/>
        <w:rPr>
          <w:rFonts w:ascii="宋体" w:cs="宋体" w:hAnsi="宋体"/>
          <w:color w:val="000000"/>
          <w:lang w:val="id-ID"/>
        </w:rPr>
      </w:pPr>
      <w:r>
        <w:rPr>
          <w:rFonts w:ascii="宋体" w:cs="宋体" w:hAnsi="宋体"/>
          <w:color w:val="000000"/>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Pr>
          <w:rFonts w:ascii="宋体" w:cs="宋体" w:hAnsi="宋体"/>
          <w:color w:val="000000"/>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“sehati” dan “satu” budaya, sedangkan budaya lain termasuk yang datang dari Islam adalah budaya luar. Hal ini menyebabkan Islam sebagai ajaran yang seharusnya menyeluruh dalam seluruh kehidupan manusia, hanya hidup dalam pesantren dan ibadah </w:t>
      </w:r>
      <w:r>
        <w:rPr>
          <w:rFonts w:ascii="宋体" w:cs="宋体" w:hAnsi="宋体"/>
          <w:i/>
          <w:iCs/>
          <w:color w:val="000000"/>
          <w:lang w:val="id-ID"/>
        </w:rPr>
        <w:t xml:space="preserve">mahdhah </w:t>
      </w:r>
      <w:r>
        <w:rPr>
          <w:rFonts w:ascii="宋体" w:cs="宋体" w:hAnsi="宋体"/>
          <w:color w:val="000000"/>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pPr>
        <w:pStyle w:val="style94"/>
        <w:spacing w:before="0" w:beforeAutospacing="false" w:after="0" w:afterAutospacing="false" w:lineRule="auto" w:line="360"/>
        <w:jc w:val="both"/>
        <w:rPr>
          <w:rFonts w:ascii="宋体" w:cs="宋体" w:hAnsi="宋体"/>
          <w:color w:val="000000"/>
          <w:lang w:val="id-ID"/>
        </w:rPr>
      </w:pPr>
      <w:r>
        <w:rPr>
          <w:rFonts w:ascii="宋体" w:cs="宋体" w:hAnsi="宋体"/>
          <w:color w:val="000000"/>
        </w:rPr>
        <w:t xml:space="preserve">Gerakan </w:t>
      </w:r>
      <w:r>
        <w:rPr>
          <w:rFonts w:ascii="宋体" w:cs="宋体" w:hAnsi="宋体"/>
          <w:color w:val="000000"/>
          <w:lang w:val="id-ID"/>
        </w:rPr>
        <w:t xml:space="preserve">Muhammdiyah </w:t>
      </w:r>
      <w:r>
        <w:rPr>
          <w:rFonts w:ascii="宋体" w:cs="宋体" w:hAnsi="宋体"/>
          <w:color w:val="000000"/>
          <w:lang w:val="id-ID"/>
        </w:rPr>
        <w:t>l</w:t>
      </w:r>
      <w:r>
        <w:rPr>
          <w:rFonts w:ascii="宋体" w:cs="宋体" w:hAnsi="宋体"/>
          <w:color w:val="000000"/>
          <w:lang w:val="id-ID"/>
        </w:rPr>
        <w:t>ahir dengan</w:t>
      </w:r>
      <w:r>
        <w:rPr>
          <w:rFonts w:ascii="宋体" w:cs="宋体" w:hAnsi="宋体"/>
          <w:color w:val="000000"/>
        </w:rPr>
        <w:t xml:space="preserve"> tujuan untuk mengantarkan jamaahnya ke pintu surga serta untuk meraih sukses k</w:t>
      </w:r>
      <w:r>
        <w:rPr>
          <w:rFonts w:ascii="宋体" w:cs="宋体" w:hAnsi="宋体"/>
          <w:color w:val="000000"/>
        </w:rPr>
        <w:t>ehidupan duniawi</w:t>
      </w:r>
      <w:r>
        <w:rPr>
          <w:rFonts w:ascii="宋体" w:cs="宋体" w:hAnsi="宋体"/>
          <w:color w:val="000000"/>
          <w:lang w:val="id-ID"/>
        </w:rPr>
        <w:t>, sehingga ajaran agama tidak hanya berada di ruang khusus, tetapi menye</w:t>
      </w:r>
      <w:r>
        <w:rPr>
          <w:rFonts w:ascii="宋体" w:cs="宋体" w:hAnsi="宋体"/>
          <w:color w:val="000000"/>
          <w:lang w:val="id-ID"/>
        </w:rPr>
        <w:t>l</w:t>
      </w:r>
      <w:r>
        <w:rPr>
          <w:rFonts w:ascii="宋体" w:cs="宋体" w:hAnsi="宋体"/>
          <w:color w:val="000000"/>
          <w:lang w:val="id-ID"/>
        </w:rPr>
        <w:t>uruh da</w:t>
      </w:r>
      <w:r>
        <w:rPr>
          <w:rFonts w:ascii="宋体" w:cs="宋体" w:hAnsi="宋体"/>
          <w:color w:val="000000"/>
          <w:lang w:val="id-ID"/>
        </w:rPr>
        <w:t>l</w:t>
      </w:r>
      <w:r>
        <w:rPr>
          <w:rFonts w:ascii="宋体" w:cs="宋体" w:hAnsi="宋体"/>
          <w:color w:val="000000"/>
          <w:lang w:val="id-ID"/>
        </w:rPr>
        <w:t>am se</w:t>
      </w:r>
      <w:r>
        <w:rPr>
          <w:rFonts w:ascii="宋体" w:cs="宋体" w:hAnsi="宋体"/>
          <w:color w:val="000000"/>
          <w:lang w:val="id-ID"/>
        </w:rPr>
        <w:t>l</w:t>
      </w:r>
      <w:r>
        <w:rPr>
          <w:rFonts w:ascii="宋体" w:cs="宋体" w:hAnsi="宋体"/>
          <w:color w:val="000000"/>
          <w:lang w:val="id-ID"/>
        </w:rPr>
        <w:t>uruh kehidupan manusia.</w:t>
      </w:r>
      <w:r>
        <w:rPr>
          <w:rFonts w:ascii="宋体" w:cs="宋体" w:hAnsi="宋体"/>
          <w:color w:val="000000"/>
        </w:rPr>
        <w:t>Paham</w:t>
      </w:r>
      <w:r>
        <w:rPr>
          <w:rFonts w:ascii="宋体" w:cs="宋体" w:hAnsi="宋体"/>
          <w:color w:val="000000"/>
        </w:rPr>
        <w:t xml:space="preserve"> keagamaan menurut Muhammadiyah digali dari sejarah berdirinya organisasi dan dari diskusi yang berlangsung antara sang pendiri dengan para murid-murid generasi pertama, serta dokumen-dokumen resmi keorganisasian.</w:t>
      </w:r>
      <w:r>
        <w:rPr>
          <w:rFonts w:ascii="宋体" w:cs="宋体" w:hAnsi="宋体"/>
          <w:color w:val="000000"/>
          <w:lang w:val="id-ID"/>
        </w:rPr>
        <w:t xml:space="preserve"> Di antaranya Anggaran Dasar Muhammadiyah (ADM), Pedoman Hidup Islami Warga Muhammadiyah (PHIWM), Matan Keyakinan dan Cita-Cita Hidup Muhammadiyah (MKCH), serta Himpunan </w:t>
      </w:r>
      <w:r>
        <w:rPr>
          <w:rFonts w:ascii="宋体" w:cs="宋体" w:hAnsi="宋体"/>
          <w:color w:val="000000"/>
          <w:lang w:val="id-ID"/>
        </w:rPr>
        <w:t>Putusan Tarjih (HPT). Dalam HPT disebutkan bahwa “</w:t>
      </w:r>
      <w:r>
        <w:rPr>
          <w:rFonts w:ascii="宋体" w:cs="宋体" w:hAnsi="宋体"/>
          <w:i/>
          <w:iCs/>
          <w:color w:val="000000"/>
        </w:rPr>
        <w:t>Agama adalah apa yang disyariatkan Allah dengan perantaraan nabi-nabi-Nya,  berupa perintah-perintah dan larangan-larangan berupa petunjuk untuk kebaikan manusia di Dunia dan Akhirat</w:t>
      </w:r>
      <w:r>
        <w:rPr>
          <w:rFonts w:ascii="宋体" w:cs="宋体" w:hAnsi="宋体"/>
          <w:i/>
          <w:iCs/>
          <w:color w:val="000000"/>
          <w:lang w:val="id-ID"/>
        </w:rPr>
        <w:t>”</w:t>
      </w:r>
      <w:r>
        <w:rPr>
          <w:rFonts w:ascii="宋体" w:cs="宋体" w:hAnsi="宋体"/>
          <w:color w:val="000000"/>
          <w:lang w:val="id-ID"/>
        </w:rPr>
        <w:t>. Lebih khusus dalam HPT disebutkan “</w:t>
      </w:r>
      <w:r>
        <w:rPr>
          <w:rFonts w:ascii="宋体" w:cs="宋体" w:hAnsi="宋体"/>
          <w:i/>
          <w:iCs/>
          <w:color w:val="000000"/>
          <w:lang w:val="id-ID"/>
        </w:rPr>
        <w:t xml:space="preserve">Agama, yakni agama Islam yang dibawa oleh Nabi Muhammad saw, ialah apa yang diturunkan Allah di dalam al-Qur’an dan yang tersebut dalam Sunnah yang shahih </w:t>
      </w:r>
      <w:r>
        <w:rPr>
          <w:rFonts w:ascii="宋体" w:cs="宋体" w:hAnsi="宋体"/>
          <w:color w:val="000000"/>
          <w:lang w:val="id-ID"/>
        </w:rPr>
        <w:t>[maksudnya maqbulah, sesuai angka 1 di atas]</w:t>
      </w:r>
      <w:r>
        <w:rPr>
          <w:rFonts w:ascii="宋体" w:cs="宋体" w:hAnsi="宋体"/>
          <w:i/>
          <w:iCs/>
          <w:color w:val="000000"/>
          <w:lang w:val="id-ID"/>
        </w:rPr>
        <w:t>, berupa perintah-perintah dan larangan-larangan berupa petunjuk untuk kebaikan manusia di Dunia dan Akhirat</w:t>
      </w:r>
      <w:r>
        <w:rPr>
          <w:rFonts w:ascii="宋体" w:cs="宋体" w:hAnsi="宋体"/>
          <w:color w:val="000000"/>
          <w:lang w:val="id-ID"/>
        </w:rPr>
        <w:t xml:space="preserve">”. Dalam ADM juga disebutkan bahwa </w:t>
      </w:r>
      <w:r>
        <w:rPr>
          <w:rFonts w:ascii="宋体" w:cs="宋体" w:hAnsi="宋体"/>
          <w:i/>
          <w:iCs/>
          <w:color w:val="000000"/>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Pr>
          <w:rFonts w:ascii="宋体" w:cs="宋体" w:hAnsi="宋体"/>
          <w:color w:val="000000"/>
          <w:lang w:val="id-ID"/>
        </w:rPr>
        <w:t>. Dari pernyataan di atas dapat di</w:t>
      </w:r>
      <w:r>
        <w:rPr>
          <w:rFonts w:ascii="宋体" w:cs="宋体" w:hAnsi="宋体"/>
          <w:color w:val="000000"/>
          <w:lang w:val="id-ID"/>
        </w:rPr>
        <w:t>artikan</w:t>
      </w:r>
      <w:r>
        <w:rPr>
          <w:rFonts w:ascii="宋体" w:cs="宋体" w:hAnsi="宋体"/>
          <w:color w:val="000000"/>
          <w:lang w:val="id-ID"/>
        </w:rPr>
        <w:t xml:space="preserve"> bahwa agama dalam Muhammadiyah didasarkan pada dua sumber utama yaitu </w:t>
      </w:r>
      <w:r>
        <w:rPr>
          <w:rFonts w:ascii="宋体" w:cs="宋体" w:hAnsi="宋体"/>
          <w:b/>
          <w:bCs/>
          <w:color w:val="000000"/>
          <w:lang w:val="id-ID"/>
        </w:rPr>
        <w:t>Al-Quran</w:t>
      </w:r>
      <w:r>
        <w:rPr>
          <w:rFonts w:ascii="宋体" w:cs="宋体" w:hAnsi="宋体"/>
          <w:color w:val="000000"/>
          <w:lang w:val="id-ID"/>
        </w:rPr>
        <w:t xml:space="preserve"> dan </w:t>
      </w:r>
      <w:r>
        <w:rPr>
          <w:rFonts w:ascii="宋体" w:cs="宋体" w:hAnsi="宋体"/>
          <w:b/>
          <w:bCs/>
          <w:color w:val="000000"/>
          <w:lang w:val="id-ID"/>
        </w:rPr>
        <w:t>As-Sunnah Al-Maqbulah</w:t>
      </w:r>
      <w:r>
        <w:rPr>
          <w:rFonts w:ascii="宋体" w:cs="宋体" w:hAnsi="宋体"/>
          <w:color w:val="000000"/>
          <w:lang w:val="id-ID"/>
        </w:rPr>
        <w:t xml:space="preserve"> yang berisi perintah dan larangan, dilaksanakan dengan dakwah </w:t>
      </w:r>
      <w:r>
        <w:rPr>
          <w:rFonts w:ascii="宋体" w:cs="宋体" w:hAnsi="宋体"/>
          <w:b/>
          <w:bCs/>
          <w:color w:val="000000"/>
          <w:lang w:val="id-ID"/>
        </w:rPr>
        <w:t>amar ma`ruf dan nahi munkar</w:t>
      </w:r>
      <w:r>
        <w:rPr>
          <w:rFonts w:ascii="宋体" w:cs="宋体" w:hAnsi="宋体"/>
          <w:color w:val="000000"/>
          <w:lang w:val="id-ID"/>
        </w:rPr>
        <w:t xml:space="preserve"> dan </w:t>
      </w:r>
      <w:r>
        <w:rPr>
          <w:rFonts w:ascii="宋体" w:cs="宋体" w:hAnsi="宋体"/>
          <w:b/>
          <w:bCs/>
          <w:color w:val="000000"/>
          <w:lang w:val="id-ID"/>
        </w:rPr>
        <w:t>tajdid</w:t>
      </w:r>
      <w:r>
        <w:rPr>
          <w:rFonts w:ascii="宋体" w:cs="宋体" w:hAnsi="宋体"/>
          <w:color w:val="000000"/>
          <w:lang w:val="id-ID"/>
        </w:rPr>
        <w:t xml:space="preserve">, untuk mencapai </w:t>
      </w:r>
      <w:r>
        <w:rPr>
          <w:rFonts w:ascii="宋体" w:cs="宋体" w:hAnsi="宋体"/>
          <w:b/>
          <w:bCs/>
          <w:color w:val="000000"/>
          <w:lang w:val="id-ID"/>
        </w:rPr>
        <w:t>terwujudnya masyarakat Islam yang sebenar-benarnya</w:t>
      </w:r>
      <w:r>
        <w:rPr>
          <w:rFonts w:ascii="宋体" w:cs="宋体" w:hAnsi="宋体"/>
          <w:color w:val="000000"/>
          <w:lang w:val="id-ID"/>
        </w:rPr>
        <w:t>.</w:t>
      </w:r>
    </w:p>
    <w:p>
      <w:pPr>
        <w:pStyle w:val="style0"/>
        <w:spacing w:lineRule="auto" w:line="360"/>
        <w:jc w:val="both"/>
        <w:rPr>
          <w:rFonts w:ascii="宋体" w:cs="宋体" w:eastAsia="Times New Roman" w:hAnsi="宋体"/>
          <w:color w:val="000000"/>
          <w:lang w:val="id-ID"/>
        </w:rPr>
      </w:pPr>
      <w:r>
        <w:rPr>
          <w:rFonts w:ascii="宋体" w:cs="宋体" w:hAnsi="宋体"/>
          <w:color w:val="000000"/>
        </w:rPr>
        <w:t>Paham</w:t>
      </w:r>
      <w:r>
        <w:rPr>
          <w:rFonts w:ascii="宋体" w:cs="宋体" w:hAnsi="宋体"/>
          <w:color w:val="000000"/>
        </w:rPr>
        <w:t xml:space="preserve"> Islam dalam Muhammadiyah adalah kembali kepada Al Qur’an dan As Sunnah. Artinya </w:t>
      </w:r>
      <w:r>
        <w:rPr>
          <w:rFonts w:ascii="宋体" w:cs="宋体" w:hAnsi="宋体"/>
          <w:color w:val="000000"/>
        </w:rPr>
        <w:t>paham</w:t>
      </w:r>
      <w:r>
        <w:rPr>
          <w:rFonts w:ascii="宋体" w:cs="宋体" w:hAnsi="宋体"/>
          <w:color w:val="000000"/>
        </w:rPr>
        <w:t xml:space="preserve"> Islam yang murni yang merujuk kepada sumber ajaran yang utama yaitu Al Qur’an dan As Sunnah yang Shohihah dan Maqbulah serta berorientasi kepada kemajuan. </w:t>
      </w:r>
      <w:r>
        <w:rPr>
          <w:rFonts w:ascii="宋体" w:cs="宋体" w:eastAsia="Times New Roman" w:hAnsi="宋体"/>
          <w:color w:val="000000"/>
          <w:lang w:val="id-ID"/>
        </w:rPr>
        <w:t xml:space="preserve">As-Sunnah Al-Maqbulah ini yang </w:t>
      </w:r>
      <w:r>
        <w:rPr>
          <w:rFonts w:ascii="宋体" w:cs="宋体" w:eastAsia="Times New Roman" w:hAnsi="宋体"/>
          <w:color w:val="000000"/>
          <w:lang w:val="id-ID"/>
        </w:rPr>
        <w:t>terkadang</w:t>
      </w:r>
      <w:r>
        <w:rPr>
          <w:rFonts w:ascii="宋体" w:cs="宋体" w:eastAsia="Times New Roman" w:hAnsi="宋体"/>
          <w:color w:val="000000"/>
          <w:lang w:val="id-ID"/>
        </w:rPr>
        <w:t xml:space="preserve"> menjadikan Muhammadiyah terlihat berbeda dalam beberapa hal pada pelaksanaan ajaran Islam. As-Sunnah Al-Maqbulah dalam istilah hadis diartikan dengan “hadis yang diterima” dan ini terdiri hanya dari dua macam yaitu hadis </w:t>
      </w:r>
      <w:r>
        <w:rPr>
          <w:rFonts w:ascii="宋体" w:cs="宋体" w:eastAsia="Times New Roman" w:hAnsi="宋体"/>
          <w:i/>
          <w:iCs/>
          <w:color w:val="000000"/>
          <w:lang w:val="id-ID"/>
        </w:rPr>
        <w:t>sahih</w:t>
      </w:r>
      <w:r>
        <w:rPr>
          <w:rFonts w:ascii="宋体" w:cs="宋体" w:eastAsia="Times New Roman" w:hAnsi="宋体"/>
          <w:color w:val="000000"/>
          <w:lang w:val="id-ID"/>
        </w:rPr>
        <w:t xml:space="preserve"> dan hadis </w:t>
      </w:r>
      <w:r>
        <w:rPr>
          <w:rFonts w:ascii="宋体" w:cs="宋体" w:eastAsia="Times New Roman" w:hAnsi="宋体"/>
          <w:i/>
          <w:iCs/>
          <w:color w:val="000000"/>
          <w:lang w:val="id-ID"/>
        </w:rPr>
        <w:t>hasan</w:t>
      </w:r>
      <w:r>
        <w:rPr>
          <w:rFonts w:ascii="宋体" w:cs="宋体" w:eastAsia="Times New Roman" w:hAnsi="宋体"/>
          <w:color w:val="000000"/>
          <w:lang w:val="id-ID"/>
        </w:rPr>
        <w:t xml:space="preserve">, hadis </w:t>
      </w:r>
      <w:r>
        <w:rPr>
          <w:rFonts w:ascii="宋体" w:cs="宋体" w:eastAsia="Times New Roman" w:hAnsi="宋体"/>
          <w:i/>
          <w:iCs/>
          <w:color w:val="000000"/>
          <w:lang w:val="id-ID"/>
        </w:rPr>
        <w:t>dha`if</w:t>
      </w:r>
      <w:r>
        <w:rPr>
          <w:rFonts w:ascii="宋体" w:cs="宋体" w:eastAsia="Times New Roman" w:hAnsi="宋体"/>
          <w:color w:val="000000"/>
          <w:lang w:val="id-ID"/>
        </w:rPr>
        <w:t xml:space="preserve"> tidak dijadikan sebagai sumber dalam ajaran Muhammadiyah. Hadis </w:t>
      </w:r>
      <w:r>
        <w:rPr>
          <w:rFonts w:ascii="宋体" w:cs="宋体" w:eastAsia="Times New Roman" w:hAnsi="宋体"/>
          <w:i/>
          <w:iCs/>
          <w:color w:val="000000"/>
          <w:lang w:val="id-ID"/>
        </w:rPr>
        <w:t xml:space="preserve">dha`if </w:t>
      </w:r>
      <w:r>
        <w:rPr>
          <w:rFonts w:ascii="宋体" w:cs="宋体" w:eastAsia="Times New Roman" w:hAnsi="宋体"/>
          <w:color w:val="000000"/>
          <w:lang w:val="id-ID"/>
        </w:rPr>
        <w:t xml:space="preserve">yang dapat dijadikan sumber jika memenuhi beberapa syarat yaitu: (1) sanadnya sangat banyak dan saling menguatkan; (2) ada petunjuk bahwa hadis tersebut benar adanya berasal dari Rasul; (3) tidak bertentangan dengan Al-Quran dan hadis </w:t>
      </w:r>
      <w:r>
        <w:rPr>
          <w:rFonts w:ascii="宋体" w:cs="宋体" w:eastAsia="Times New Roman" w:hAnsi="宋体"/>
          <w:i/>
          <w:iCs/>
          <w:color w:val="000000"/>
          <w:lang w:val="id-ID"/>
        </w:rPr>
        <w:t>sahih</w:t>
      </w:r>
      <w:r>
        <w:rPr>
          <w:rFonts w:ascii="宋体" w:cs="宋体" w:eastAsia="Times New Roman" w:hAnsi="宋体"/>
          <w:color w:val="000000"/>
          <w:lang w:val="id-ID"/>
        </w:rPr>
        <w:t xml:space="preserve">. </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 xml:space="preserve">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 Untuk mengetahui lebih jelas mengenai pemikiran formal tentang </w:t>
      </w:r>
      <w:r>
        <w:rPr>
          <w:rFonts w:ascii="宋体" w:cs="宋体" w:hAnsi="宋体"/>
          <w:color w:val="000000"/>
        </w:rPr>
        <w:t>paham</w:t>
      </w:r>
      <w:r>
        <w:rPr>
          <w:rFonts w:ascii="宋体" w:cs="宋体" w:hAnsi="宋体"/>
          <w:color w:val="000000"/>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 xml:space="preserve">Muhammadiyah adalah gerakan Islam yang melaksanakan dakwah dan tajdid untuk terwujudnya masyarakat Islam yang sebenar-benarnya. Sebagai gerakan dakwah, Muhammadiyah mengajak umat </w:t>
      </w:r>
      <w:r>
        <w:rPr>
          <w:rFonts w:ascii="宋体" w:cs="宋体" w:hAnsi="宋体"/>
          <w:color w:val="000000"/>
        </w:rPr>
        <w:t xml:space="preserve">manusia untuk memeluk agama Islam (da’wah </w:t>
      </w:r>
      <w:r>
        <w:rPr>
          <w:rFonts w:ascii="宋体" w:cs="宋体" w:hAnsi="宋体"/>
          <w:color w:val="000000"/>
        </w:rPr>
        <w:t>ila</w:t>
      </w:r>
      <w:r>
        <w:rPr>
          <w:rFonts w:ascii="宋体" w:cs="宋体" w:hAnsi="宋体"/>
          <w:color w:val="000000"/>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sebagaimana paham agama dalam Muhammadiyah. Tuntutan seperti ini bukan bermazhab dan taklid, tetapi sebagai bentuk ‘ittiba sekaligus keniscayaan menyetujui asas dan tujuan Muhammadiyah, sebagaimana lazimnya siapapun yang berada dalam rumah Muhammadiyah. </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 xml:space="preserve">Muhammadiyah mempraktikkan </w:t>
      </w:r>
      <w:r>
        <w:rPr>
          <w:rFonts w:ascii="宋体" w:cs="宋体" w:hAnsi="宋体"/>
          <w:color w:val="000000"/>
        </w:rPr>
        <w:t>paham</w:t>
      </w:r>
      <w:r>
        <w:rPr>
          <w:rFonts w:ascii="宋体" w:cs="宋体" w:hAnsi="宋体"/>
          <w:color w:val="000000"/>
        </w:rPr>
        <w:t xml:space="preserve"> keagamaannya dalam kehidupan nyata. Menerapkan dalil aqli dan naqli dalam praktik kehidupan bermasyarakat sehingga sampai sekarang berkembang dan memiliki aset yang lumayan besar dengan gerakan di bidang pendidikan, kesehatan, dakwah, kemasyarakatan dan sebagainya. Muhammadiyah peduli dengan persoalan keumatan dengan berbuat nyata. </w:t>
      </w:r>
    </w:p>
    <w:p>
      <w:pPr>
        <w:pStyle w:val="style0"/>
        <w:spacing w:lineRule="auto" w:line="360"/>
        <w:jc w:val="both"/>
        <w:rPr>
          <w:rFonts w:ascii="宋体" w:cs="宋体" w:hAnsi="宋体"/>
          <w:color w:val="000000"/>
        </w:rPr>
      </w:pPr>
      <w:r>
        <w:rPr>
          <w:rStyle w:val="style87"/>
          <w:rFonts w:ascii="宋体" w:cs="宋体" w:hAnsi="宋体"/>
          <w:color w:val="000000"/>
        </w:rPr>
        <w:t>B. Pembahasan</w:t>
      </w:r>
    </w:p>
    <w:p>
      <w:pPr>
        <w:pStyle w:val="style0"/>
        <w:numPr>
          <w:ilvl w:val="0"/>
          <w:numId w:val="7"/>
        </w:numPr>
        <w:spacing w:lineRule="auto" w:line="360"/>
        <w:ind w:left="0" w:firstLine="0"/>
        <w:jc w:val="both"/>
        <w:rPr>
          <w:rFonts w:ascii="宋体" w:cs="宋体" w:hAnsi="宋体"/>
          <w:color w:val="000000"/>
        </w:rPr>
      </w:pPr>
      <w:r>
        <w:rPr>
          <w:rStyle w:val="style87"/>
          <w:rFonts w:ascii="宋体" w:cs="宋体" w:hAnsi="宋体"/>
          <w:color w:val="000000"/>
        </w:rPr>
        <w:t>Sumber Ajaran Islam</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Pr>
          <w:rStyle w:val="style88"/>
          <w:rFonts w:ascii="宋体" w:cs="宋体" w:eastAsia="宋体" w:hAnsi="宋体"/>
          <w:color w:val="000000"/>
        </w:rPr>
        <w:t>Assunnah Almaqbulah. </w:t>
      </w:r>
      <w:r>
        <w:rPr>
          <w:rFonts w:ascii="宋体" w:cs="宋体" w:hAnsi="宋体"/>
          <w:color w:val="000000"/>
        </w:rPr>
        <w:t>Hal ini bisa kita lihat di dalam Anggaran Dasar Muhammadiyah BAB II Pasal 4 ayat 1. Hanya saja istilah </w:t>
      </w:r>
      <w:r>
        <w:rPr>
          <w:rStyle w:val="style88"/>
          <w:rFonts w:ascii="宋体" w:cs="宋体" w:eastAsia="宋体" w:hAnsi="宋体"/>
          <w:color w:val="000000"/>
        </w:rPr>
        <w:t>Assunnah Almaqbulah </w:t>
      </w:r>
      <w:r>
        <w:rPr>
          <w:rFonts w:ascii="宋体" w:cs="宋体" w:hAnsi="宋体"/>
          <w:color w:val="000000"/>
        </w:rPr>
        <w:t>baru digunakan setelah diresmikan istilahnya pada Keputusan Musyawarah Nasional Majlis Tarjih XXV tentang Manhaj Tarjih dan Pengembangan Pemikiran Islam di Jakarta tahun 2000, dan sebelumnya digunakan istilah </w:t>
      </w:r>
      <w:r>
        <w:rPr>
          <w:rStyle w:val="style88"/>
          <w:rFonts w:ascii="宋体" w:cs="宋体" w:eastAsia="宋体" w:hAnsi="宋体"/>
          <w:color w:val="000000"/>
        </w:rPr>
        <w:t>Assunnah Ashshahihah.</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Untuk mencapai maksud dan tujuannya yaitu mewujudkan masyarakat Islam yang sebenar-benarnya, maka Muhammadiyah melaksanakan </w:t>
      </w:r>
      <w:r>
        <w:rPr>
          <w:rStyle w:val="style88"/>
          <w:rFonts w:ascii="宋体" w:cs="宋体" w:eastAsia="宋体" w:hAnsi="宋体"/>
          <w:color w:val="000000"/>
        </w:rPr>
        <w:t>amar</w:t>
      </w:r>
      <w:r>
        <w:rPr>
          <w:rFonts w:ascii="宋体" w:cs="宋体" w:hAnsi="宋体"/>
          <w:color w:val="000000"/>
        </w:rPr>
        <w:t> </w:t>
      </w:r>
      <w:r>
        <w:rPr>
          <w:rStyle w:val="style88"/>
          <w:rFonts w:ascii="宋体" w:cs="宋体" w:eastAsia="宋体" w:hAnsi="宋体"/>
          <w:color w:val="000000"/>
        </w:rPr>
        <w:t>ma’ruf nahi munkar </w:t>
      </w:r>
      <w:r>
        <w:rPr>
          <w:rFonts w:ascii="宋体" w:cs="宋体" w:hAnsi="宋体"/>
          <w:color w:val="000000"/>
        </w:rPr>
        <w:t>dan </w:t>
      </w:r>
      <w:r>
        <w:rPr>
          <w:rStyle w:val="style88"/>
          <w:rFonts w:ascii="宋体" w:cs="宋体" w:eastAsia="宋体" w:hAnsi="宋体"/>
          <w:color w:val="000000"/>
        </w:rPr>
        <w:t>tajdid </w:t>
      </w:r>
      <w:r>
        <w:rPr>
          <w:rFonts w:ascii="宋体" w:cs="宋体" w:hAnsi="宋体"/>
          <w:color w:val="000000"/>
        </w:rPr>
        <w:t>yang diwujudkan dalam usaha di segala bidang kehidupan. Dalam pengembangan bidang keagamaan dan dakwah ditangani oleh dua majlis yaitu Majlis Tarjih dan Tajdid (MTT) dan Majlis Tabligh dan Dakwah Khusus (MT-DK).</w:t>
      </w:r>
    </w:p>
    <w:p>
      <w:pPr>
        <w:pStyle w:val="style179"/>
        <w:numPr>
          <w:ilvl w:val="0"/>
          <w:numId w:val="7"/>
        </w:numPr>
        <w:tabs>
          <w:tab w:val="clear" w:pos="720"/>
        </w:tabs>
        <w:spacing w:lineRule="auto" w:line="360"/>
        <w:ind w:left="0" w:firstLine="0"/>
        <w:jc w:val="both"/>
        <w:rPr>
          <w:rFonts w:ascii="宋体" w:cs="宋体" w:hAnsi="宋体"/>
          <w:color w:val="000000"/>
        </w:rPr>
      </w:pPr>
      <w:r>
        <w:rPr>
          <w:rStyle w:val="style87"/>
          <w:rFonts w:ascii="宋体" w:cs="宋体" w:hAnsi="宋体"/>
          <w:color w:val="000000"/>
        </w:rPr>
        <w:t>Pemahaman Ajaran Islam</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Hal-hal yang berkaitan dengan paham agama dalam Muhammadiyah secara garis besar dan pokok-pokoknya ialah sebagai berikut:</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1)   Agama, yakni Agama Islam yang dibawa oleh Nabi Muhammad S.A.W. ialah apa yang diturunkan Allah dalam Alquran dan yang disebut dalam Sunnah </w:t>
      </w:r>
      <w:r>
        <w:rPr>
          <w:rStyle w:val="style88"/>
          <w:rFonts w:ascii="宋体" w:cs="宋体" w:eastAsia="宋体" w:hAnsi="宋体"/>
          <w:color w:val="000000"/>
        </w:rPr>
        <w:t>maqbulah</w:t>
      </w:r>
      <w:r>
        <w:rPr>
          <w:rFonts w:ascii="宋体" w:cs="宋体" w:hAnsi="宋体"/>
          <w:color w:val="000000"/>
        </w:rPr>
        <w:t>, berupa perintah-perintah, larangan-larangan, dan petunjuk-petunjuk untuk kebaikan manusia di dunia dan akhirat (Kitab Masalah Lima, Al-Masail Al-Khams tentang al-Din).</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r>
        <w:rPr>
          <w:rFonts w:ascii="宋体" w:cs="宋体" w:hAnsi="宋体"/>
          <w:color w:val="000000"/>
        </w:rPr>
        <w:t>bab</w:t>
      </w:r>
      <w:r>
        <w:rPr>
          <w:rFonts w:ascii="宋体" w:cs="宋体" w:hAnsi="宋体"/>
          <w:color w:val="000000"/>
        </w:rPr>
        <w:t xml:space="preserve"> Pandangan Islam Tentang Kehidupan).</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5)   </w:t>
      </w:r>
      <w:r>
        <w:rPr>
          <w:rFonts w:ascii="宋体" w:cs="宋体" w:hAnsi="宋体"/>
          <w:color w:val="000000"/>
        </w:rPr>
        <w:t>D</w:t>
      </w:r>
      <w:r>
        <w:rPr>
          <w:rFonts w:ascii="宋体" w:cs="宋体" w:hAnsi="宋体"/>
          <w:color w:val="000000"/>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Pr>
          <w:rStyle w:val="style88"/>
          <w:rFonts w:ascii="宋体" w:cs="宋体" w:eastAsia="宋体" w:hAnsi="宋体"/>
          <w:color w:val="000000"/>
        </w:rPr>
        <w:t>maqbulah</w:t>
      </w:r>
      <w:r>
        <w:rPr>
          <w:rFonts w:ascii="宋体" w:cs="宋体" w:hAnsi="宋体"/>
          <w:color w:val="000000"/>
        </w:rPr>
        <w:t>, maka dipergunakanlah alasan dengan jalan ijtihad dan istinbath dari nash yang ada melalui persamaan ‘illat, sebagaimana telah dilakukan oleh ‘ulama salaf dan Khalaf (Kitab Masalah Lima, Al-Masail Al-Khams tentang Qiyas).</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6)   Muhammadiyah dalam memaknai tajdid mengandung dua pengertian, yakni pemurnian (purifikasi) dan pembaruan (dinamisasi) (Keputusan Munas Tarjih di Malang).</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 xml:space="preserve">Mengingat kecenderungan atau gejala melemahnya dan dangkalnya pemahaman mengenai Islam dalam Muhammadiyah, pada saat yang </w:t>
      </w:r>
      <w:r>
        <w:rPr>
          <w:rFonts w:ascii="宋体" w:cs="宋体" w:hAnsi="宋体"/>
          <w:color w:val="000000"/>
        </w:rPr>
        <w:t>sama</w:t>
      </w:r>
      <w:r>
        <w:rPr>
          <w:rFonts w:ascii="宋体" w:cs="宋体" w:hAnsi="宋体"/>
          <w:color w:val="000000"/>
        </w:rPr>
        <w:t xml:space="preserve">, terdapat fenomena orang Muhammadiyah mengembangkan paham sendiri-sendiri atau malah mengikuti paham lain, maka diperlukan ikhtiar sistematis untuk menanamkan atau memantapkan kembali paham Agama (Islam) dalam Muhammadiyah. </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Di antara langkah-langkah untuk menanamkan (memantapkan) kembali paham Islam dalam Muhammadiyah ialah sebagai berikut:</w:t>
      </w:r>
    </w:p>
    <w:p>
      <w:pPr>
        <w:pStyle w:val="style0"/>
        <w:numPr>
          <w:ilvl w:val="0"/>
          <w:numId w:val="4"/>
        </w:numPr>
        <w:spacing w:lineRule="auto" w:line="360"/>
        <w:ind w:left="0" w:firstLine="0"/>
        <w:jc w:val="both"/>
        <w:rPr>
          <w:rFonts w:ascii="宋体" w:cs="宋体" w:hAnsi="宋体"/>
          <w:color w:val="000000"/>
        </w:rPr>
      </w:pPr>
      <w:r>
        <w:rPr>
          <w:rFonts w:ascii="宋体" w:cs="宋体" w:hAnsi="宋体"/>
          <w:color w:val="000000"/>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pPr>
        <w:pStyle w:val="style0"/>
        <w:numPr>
          <w:ilvl w:val="0"/>
          <w:numId w:val="4"/>
        </w:numPr>
        <w:spacing w:lineRule="auto" w:line="360"/>
        <w:ind w:left="0" w:firstLine="0"/>
        <w:jc w:val="both"/>
        <w:rPr>
          <w:rFonts w:ascii="宋体" w:cs="宋体" w:hAnsi="宋体"/>
          <w:color w:val="000000"/>
        </w:rPr>
      </w:pPr>
      <w:r>
        <w:rPr>
          <w:rFonts w:ascii="宋体" w:cs="宋体" w:hAnsi="宋体"/>
          <w:color w:val="000000"/>
        </w:rPr>
        <w:t>Pimpinan Persyarikatan diikuti oleh Organisasi Otonom, amal usaha, dan berbagai institusi dalam Muhammadiyah di berbagai tingkatan dari Pusat hingga Ranting menggiatkan kembali Kajian Intensif Islam dalam Muhammadiyah, serta menyelenggarakan Pengajian Pimpinan dan Pengajian Anggota, yang di dalamnya dipaketkan materi khusus secara mendalam dan luas tentang Paham Agama (Islam) dalam Muh       mmadiyah.</w:t>
      </w:r>
    </w:p>
    <w:p>
      <w:pPr>
        <w:pStyle w:val="style0"/>
        <w:numPr>
          <w:ilvl w:val="0"/>
          <w:numId w:val="4"/>
        </w:numPr>
        <w:spacing w:lineRule="auto" w:line="360"/>
        <w:ind w:left="0" w:firstLine="0"/>
        <w:jc w:val="both"/>
        <w:rPr>
          <w:rFonts w:ascii="宋体" w:cs="宋体" w:hAnsi="宋体"/>
          <w:color w:val="000000"/>
        </w:rPr>
      </w:pPr>
      <w:r>
        <w:rPr>
          <w:rFonts w:ascii="宋体" w:cs="宋体" w:hAnsi="宋体"/>
          <w:color w:val="000000"/>
        </w:rPr>
        <w:t>Menggiatkan pengajian-pengajian umum yang membahas tentang Islam multiaspek dalam Muhammadiyah baik secara rutin maupun dengan memanfaatkn momentum-momentum tertentu.</w:t>
      </w:r>
    </w:p>
    <w:p>
      <w:pPr>
        <w:pStyle w:val="style0"/>
        <w:numPr>
          <w:ilvl w:val="0"/>
          <w:numId w:val="4"/>
        </w:numPr>
        <w:spacing w:lineRule="auto" w:line="360"/>
        <w:ind w:left="0" w:firstLine="0"/>
        <w:jc w:val="both"/>
        <w:rPr>
          <w:rFonts w:ascii="宋体" w:cs="宋体" w:hAnsi="宋体"/>
          <w:color w:val="000000"/>
        </w:rPr>
      </w:pPr>
      <w:r>
        <w:rPr>
          <w:rFonts w:ascii="宋体" w:cs="宋体" w:hAnsi="宋体"/>
          <w:color w:val="000000"/>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pPr>
        <w:pStyle w:val="style0"/>
        <w:numPr>
          <w:ilvl w:val="0"/>
          <w:numId w:val="4"/>
        </w:numPr>
        <w:spacing w:lineRule="auto" w:line="360"/>
        <w:ind w:left="0" w:firstLine="0"/>
        <w:jc w:val="both"/>
        <w:rPr>
          <w:rFonts w:ascii="宋体" w:cs="宋体" w:hAnsi="宋体"/>
          <w:color w:val="000000"/>
        </w:rPr>
      </w:pPr>
      <w:r>
        <w:rPr>
          <w:rFonts w:ascii="宋体" w:cs="宋体" w:hAnsi="宋体"/>
          <w:color w:val="000000"/>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 xml:space="preserve">Hal yang penting yang perlu menjadi pemahaman bersama bahwa paham Islam dalam Muhammadiyah bersifat komprehensif dan luas, sehingga tidak sempit dan parsial. Agama dalam </w:t>
      </w:r>
      <w:r>
        <w:rPr>
          <w:rFonts w:ascii="宋体" w:cs="宋体" w:hAnsi="宋体"/>
          <w:color w:val="000000"/>
        </w:rPr>
        <w:t xml:space="preserve">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menyebarkan/mensosialisasikan dan mengamalkan dalam kehidupan umat serta masyarakat sehingga Islam yang didakwahkan Muhammadiyah membawa/menjadi rahmatan lil-‘alamin. </w:t>
      </w:r>
    </w:p>
    <w:p>
      <w:pPr>
        <w:pStyle w:val="style0"/>
        <w:spacing w:lineRule="auto" w:line="360"/>
        <w:jc w:val="both"/>
        <w:rPr>
          <w:rFonts w:ascii="宋体" w:cs="宋体" w:hAnsi="宋体"/>
          <w:color w:val="000000"/>
        </w:rPr>
      </w:pPr>
      <w:r>
        <w:rPr>
          <w:rStyle w:val="style87"/>
          <w:rFonts w:ascii="宋体" w:cs="宋体" w:hAnsi="宋体"/>
          <w:color w:val="000000"/>
        </w:rPr>
        <w:t>a</w:t>
      </w:r>
      <w:r>
        <w:rPr>
          <w:rStyle w:val="style87"/>
          <w:rFonts w:ascii="宋体" w:cs="宋体" w:hAnsi="宋体"/>
          <w:color w:val="000000"/>
        </w:rPr>
        <w:t>. Bidang Aqidah</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Aqidah Islam menurut Muhamadiyah dirumuskan sebagai konsekuensi logis dari gerakannya. Formulasi aqidah yang dirumuskan dengan merujuk langsung kepada suber utama ajaran Islam itu disebut </w:t>
      </w:r>
      <w:r>
        <w:rPr>
          <w:rStyle w:val="style88"/>
          <w:rFonts w:ascii="宋体" w:cs="宋体" w:eastAsia="宋体" w:hAnsi="宋体"/>
          <w:color w:val="000000"/>
        </w:rPr>
        <w:t>‘aqidah shahihah, </w:t>
      </w:r>
      <w:r>
        <w:rPr>
          <w:rFonts w:ascii="宋体" w:cs="宋体" w:hAnsi="宋体"/>
          <w:color w:val="000000"/>
        </w:rPr>
        <w:t>yang menolak segala bentuk campur tangan pemikiran teologis. Karakteristik aqidah Muhammadiyah itu secara umum dapat dijelaskan sebagai berikut:</w:t>
      </w:r>
    </w:p>
    <w:p>
      <w:pPr>
        <w:pStyle w:val="style94"/>
        <w:spacing w:before="0" w:beforeAutospacing="false" w:after="0" w:afterAutospacing="false" w:lineRule="auto" w:line="360"/>
        <w:jc w:val="both"/>
        <w:rPr>
          <w:rFonts w:ascii="宋体" w:cs="宋体" w:hAnsi="宋体"/>
          <w:color w:val="000000"/>
        </w:rPr>
      </w:pPr>
      <w:r>
        <w:rPr>
          <w:rStyle w:val="style88"/>
          <w:rFonts w:ascii="宋体" w:cs="宋体" w:eastAsia="宋体" w:hAnsi="宋体"/>
          <w:color w:val="000000"/>
        </w:rPr>
        <w:t xml:space="preserve">Pertama, </w:t>
      </w:r>
      <w:r>
        <w:rPr>
          <w:rStyle w:val="style88"/>
          <w:rFonts w:ascii="宋体" w:cs="宋体" w:eastAsia="宋体" w:hAnsi="宋体"/>
          <w:color w:val="000000"/>
        </w:rPr>
        <w:t>nash</w:t>
      </w:r>
      <w:r>
        <w:rPr>
          <w:rStyle w:val="style88"/>
          <w:rFonts w:ascii="宋体" w:cs="宋体" w:eastAsia="宋体" w:hAnsi="宋体"/>
          <w:color w:val="000000"/>
        </w:rPr>
        <w:t> </w:t>
      </w:r>
      <w:r>
        <w:rPr>
          <w:rFonts w:ascii="宋体" w:cs="宋体" w:hAnsi="宋体"/>
          <w:color w:val="000000"/>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Pr>
          <w:rStyle w:val="style88"/>
          <w:rFonts w:ascii="宋体" w:cs="宋体" w:eastAsia="宋体" w:hAnsi="宋体"/>
          <w:color w:val="000000"/>
        </w:rPr>
        <w:t>‘</w:t>
      </w:r>
      <w:r>
        <w:rPr>
          <w:rFonts w:ascii="宋体" w:cs="宋体" w:hAnsi="宋体"/>
          <w:color w:val="000000"/>
        </w:rPr>
        <w:t>aqidah, seperti dinyatakan: </w:t>
      </w:r>
      <w:r>
        <w:rPr>
          <w:rStyle w:val="style88"/>
          <w:rFonts w:ascii="宋体" w:cs="宋体" w:eastAsia="宋体" w:hAnsi="宋体"/>
          <w:color w:val="000000"/>
        </w:rPr>
        <w:t>“Inilah pokok-pokok ‘aqidah yang benar itu, yang terdapat dalam Alquran dan dikuatkan dengan pemberitaan-pemberitaan yang mutawatir.”</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Berdasarkan pernyataan di atas, jelaslah bahwa sumber aqidah Muhammadiyah adalah alquran dan Sunnah yang dikuatkan dengan berita-berita yang </w:t>
      </w:r>
      <w:r>
        <w:rPr>
          <w:rStyle w:val="style88"/>
          <w:rFonts w:ascii="宋体" w:cs="宋体" w:eastAsia="宋体" w:hAnsi="宋体"/>
          <w:color w:val="000000"/>
        </w:rPr>
        <w:t>mutawatir.</w:t>
      </w:r>
      <w:r>
        <w:rPr>
          <w:rFonts w:ascii="宋体" w:cs="宋体" w:hAnsi="宋体"/>
          <w:color w:val="000000"/>
        </w:rPr>
        <w:t> Ketentuan ini juga dijelaskan lagi dalam pokok-pokok </w:t>
      </w:r>
      <w:r>
        <w:rPr>
          <w:rStyle w:val="style88"/>
          <w:rFonts w:ascii="宋体" w:cs="宋体" w:eastAsia="宋体" w:hAnsi="宋体"/>
          <w:color w:val="000000"/>
        </w:rPr>
        <w:t>Manhaj Tarjih </w:t>
      </w:r>
      <w:r>
        <w:rPr>
          <w:rFonts w:ascii="宋体" w:cs="宋体" w:hAnsi="宋体"/>
          <w:color w:val="000000"/>
        </w:rPr>
        <w:t>sebagai berikut: </w:t>
      </w:r>
      <w:r>
        <w:rPr>
          <w:rStyle w:val="style88"/>
          <w:rFonts w:ascii="宋体" w:cs="宋体" w:eastAsia="宋体" w:hAnsi="宋体"/>
          <w:color w:val="000000"/>
        </w:rPr>
        <w:t xml:space="preserve">“(5) Di dalam masalah aqidah hanya dipergunakan dalil-dalil yang mutawatir, (6) Dalil-dalil umum Alquran dapat ditakhsis dengan hadits ahad, kecuali dalam bidang aqidah, (16) dalam memahami </w:t>
      </w:r>
      <w:r>
        <w:rPr>
          <w:rStyle w:val="style88"/>
          <w:rFonts w:ascii="宋体" w:cs="宋体" w:eastAsia="宋体" w:hAnsi="宋体"/>
          <w:color w:val="000000"/>
        </w:rPr>
        <w:t>nash</w:t>
      </w:r>
      <w:r>
        <w:rPr>
          <w:rStyle w:val="style88"/>
          <w:rFonts w:ascii="宋体" w:cs="宋体" w:eastAsia="宋体" w:hAnsi="宋体"/>
          <w:color w:val="000000"/>
        </w:rPr>
        <w:t>, makna zhahir didahulukan daripada ta’wil dalam bidang aqidah dan takwil sahabat dalam hal itu tidak harus diterima.”</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Pr>
          <w:rStyle w:val="style88"/>
          <w:rFonts w:ascii="宋体" w:cs="宋体" w:eastAsia="宋体" w:hAnsi="宋体"/>
          <w:color w:val="000000"/>
        </w:rPr>
        <w:t>tawaqquf </w:t>
      </w:r>
      <w:r>
        <w:rPr>
          <w:rFonts w:ascii="宋体" w:cs="宋体" w:hAnsi="宋体"/>
          <w:color w:val="000000"/>
        </w:rPr>
        <w:t>seperti halnya kaum </w:t>
      </w:r>
      <w:r>
        <w:rPr>
          <w:rStyle w:val="style88"/>
          <w:rFonts w:ascii="宋体" w:cs="宋体" w:eastAsia="宋体" w:hAnsi="宋体"/>
          <w:color w:val="000000"/>
        </w:rPr>
        <w:t>salaf.</w:t>
      </w:r>
    </w:p>
    <w:p>
      <w:pPr>
        <w:pStyle w:val="style94"/>
        <w:spacing w:before="0" w:beforeAutospacing="false" w:after="0" w:afterAutospacing="false" w:lineRule="auto" w:line="360"/>
        <w:jc w:val="both"/>
        <w:rPr>
          <w:rFonts w:ascii="宋体" w:cs="宋体" w:hAnsi="宋体"/>
          <w:color w:val="000000"/>
        </w:rPr>
      </w:pPr>
      <w:r>
        <w:rPr>
          <w:rStyle w:val="style88"/>
          <w:rFonts w:ascii="宋体" w:cs="宋体" w:eastAsia="宋体" w:hAnsi="宋体"/>
          <w:color w:val="000000"/>
        </w:rPr>
        <w:t>Kedua, </w:t>
      </w:r>
      <w:r>
        <w:rPr>
          <w:rFonts w:ascii="宋体" w:cs="宋体" w:hAnsi="宋体"/>
          <w:color w:val="000000"/>
        </w:rPr>
        <w:t>keterbatasan peranan akal dalam soal aqida Muhammadiyah termasuk kelompok yang memandang kenisbian akal dalam masalah aqidah. Sehingga formulasi posisi akal sebagai berikut </w:t>
      </w:r>
      <w:r>
        <w:rPr>
          <w:rStyle w:val="style88"/>
          <w:rFonts w:ascii="宋体" w:cs="宋体" w:eastAsia="宋体" w:hAnsi="宋体"/>
          <w:color w:val="000000"/>
        </w:rPr>
        <w:t xml:space="preserve">“Allah tidak menyuruh kita membicarakan hal-hal yang tidak tercapai pengertian oleh akal </w:t>
      </w:r>
      <w:r>
        <w:rPr>
          <w:rStyle w:val="style88"/>
          <w:rFonts w:ascii="宋体" w:cs="宋体" w:eastAsia="宋体" w:hAnsi="宋体"/>
          <w:color w:val="000000"/>
        </w:rPr>
        <w:t>dalam hal kepercayaan, sebab akal manusia tidak mungkin mencapai pengertian tentang Dzat Allah dan hubungan-Nya dengan sifat-sifat yang ada pada-Nya.”</w:t>
      </w:r>
    </w:p>
    <w:p>
      <w:pPr>
        <w:pStyle w:val="style94"/>
        <w:spacing w:before="0" w:beforeAutospacing="false" w:after="0" w:afterAutospacing="false" w:lineRule="auto" w:line="360"/>
        <w:jc w:val="both"/>
        <w:rPr>
          <w:rFonts w:ascii="宋体" w:cs="宋体" w:hAnsi="宋体"/>
          <w:color w:val="000000"/>
        </w:rPr>
      </w:pPr>
      <w:r>
        <w:rPr>
          <w:rStyle w:val="style88"/>
          <w:rFonts w:ascii="宋体" w:cs="宋体" w:eastAsia="宋体" w:hAnsi="宋体"/>
          <w:color w:val="000000"/>
        </w:rPr>
        <w:t>Ketiga, </w:t>
      </w:r>
      <w:r>
        <w:rPr>
          <w:rFonts w:ascii="宋体" w:cs="宋体" w:hAnsi="宋体"/>
          <w:color w:val="000000"/>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pPr>
        <w:pStyle w:val="style94"/>
        <w:spacing w:before="0" w:beforeAutospacing="false" w:after="0" w:afterAutospacing="false" w:lineRule="auto" w:line="360"/>
        <w:jc w:val="both"/>
        <w:rPr>
          <w:rFonts w:ascii="宋体" w:cs="宋体" w:hAnsi="宋体"/>
          <w:color w:val="000000"/>
        </w:rPr>
      </w:pPr>
      <w:r>
        <w:rPr>
          <w:rStyle w:val="style88"/>
          <w:rFonts w:ascii="宋体" w:cs="宋体" w:eastAsia="宋体" w:hAnsi="宋体"/>
          <w:color w:val="000000"/>
        </w:rPr>
        <w:t>Keempat, </w:t>
      </w:r>
      <w:r>
        <w:rPr>
          <w:rFonts w:ascii="宋体" w:cs="宋体" w:hAnsi="宋体"/>
          <w:color w:val="000000"/>
        </w:rPr>
        <w:t>percaya kepada </w:t>
      </w:r>
      <w:r>
        <w:rPr>
          <w:rStyle w:val="style88"/>
          <w:rFonts w:ascii="宋体" w:cs="宋体" w:eastAsia="宋体" w:hAnsi="宋体"/>
          <w:color w:val="000000"/>
        </w:rPr>
        <w:t>qadha’ </w:t>
      </w:r>
      <w:r>
        <w:rPr>
          <w:rFonts w:ascii="宋体" w:cs="宋体" w:hAnsi="宋体"/>
          <w:color w:val="000000"/>
        </w:rPr>
        <w:t>dan </w:t>
      </w:r>
      <w:r>
        <w:rPr>
          <w:rStyle w:val="style88"/>
          <w:rFonts w:ascii="宋体" w:cs="宋体" w:eastAsia="宋体" w:hAnsi="宋体"/>
          <w:color w:val="000000"/>
        </w:rPr>
        <w:t>qadar.</w:t>
      </w:r>
      <w:r>
        <w:rPr>
          <w:rFonts w:ascii="宋体" w:cs="宋体" w:hAnsi="宋体"/>
          <w:color w:val="000000"/>
        </w:rPr>
        <w:t> Dalam Muhammdiyah </w:t>
      </w:r>
      <w:r>
        <w:rPr>
          <w:rStyle w:val="style88"/>
          <w:rFonts w:ascii="宋体" w:cs="宋体" w:eastAsia="宋体" w:hAnsi="宋体"/>
          <w:color w:val="000000"/>
        </w:rPr>
        <w:t>qadha’ </w:t>
      </w:r>
      <w:r>
        <w:rPr>
          <w:rFonts w:ascii="宋体" w:cs="宋体" w:hAnsi="宋体"/>
          <w:color w:val="000000"/>
        </w:rPr>
        <w:t>dan </w:t>
      </w:r>
      <w:r>
        <w:rPr>
          <w:rStyle w:val="style88"/>
          <w:rFonts w:ascii="宋体" w:cs="宋体" w:eastAsia="宋体" w:hAnsi="宋体"/>
          <w:color w:val="000000"/>
        </w:rPr>
        <w:t>qadar </w:t>
      </w:r>
      <w:r>
        <w:rPr>
          <w:rFonts w:ascii="宋体" w:cs="宋体" w:hAnsi="宋体"/>
          <w:color w:val="000000"/>
        </w:rPr>
        <w:t>diyakini sebagai salah satu pokok aqidah yang terakhir dari formulasi rukun imannya, dengan mengikuti formulasi yang diberikan oleh hadis mengenai pengertian Islam, Iman dan Ihsan.</w:t>
      </w:r>
    </w:p>
    <w:p>
      <w:pPr>
        <w:pStyle w:val="style94"/>
        <w:spacing w:before="0" w:beforeAutospacing="false" w:after="0" w:afterAutospacing="false" w:lineRule="auto" w:line="360"/>
        <w:jc w:val="both"/>
        <w:rPr>
          <w:rFonts w:ascii="宋体" w:cs="宋体" w:hAnsi="宋体"/>
          <w:color w:val="000000"/>
        </w:rPr>
      </w:pPr>
      <w:r>
        <w:rPr>
          <w:rStyle w:val="style88"/>
          <w:rFonts w:ascii="宋体" w:cs="宋体" w:eastAsia="宋体" w:hAnsi="宋体"/>
          <w:color w:val="000000"/>
        </w:rPr>
        <w:t>Kelima, </w:t>
      </w:r>
      <w:r>
        <w:rPr>
          <w:rFonts w:ascii="宋体" w:cs="宋体" w:hAnsi="宋体"/>
          <w:color w:val="000000"/>
        </w:rPr>
        <w:t>menetapkan sifat-sifat Allah. Seperti halnya pada aspek-aspek aqidah lainnya, pandangan Muhammadiyah mengenai sifat-sifat Allah tidak dijelaskan secara mendetail. Keterampilan yang mendekati kebenaran Muhammadiyah tetap cenderung kepada aqidah salaf.</w:t>
      </w:r>
    </w:p>
    <w:p>
      <w:pPr>
        <w:pStyle w:val="style94"/>
        <w:spacing w:before="0" w:beforeAutospacing="false" w:after="0" w:afterAutospacing="false" w:lineRule="auto" w:line="360"/>
        <w:jc w:val="both"/>
        <w:rPr>
          <w:rFonts w:ascii="宋体" w:cs="宋体" w:hAnsi="宋体"/>
          <w:color w:val="000000"/>
        </w:rPr>
      </w:pPr>
      <w:r>
        <w:rPr>
          <w:rStyle w:val="style87"/>
          <w:rFonts w:ascii="宋体" w:cs="宋体" w:hAnsi="宋体"/>
          <w:color w:val="000000"/>
        </w:rPr>
        <w:t>b</w:t>
      </w:r>
      <w:r>
        <w:rPr>
          <w:rStyle w:val="style87"/>
          <w:rFonts w:ascii="宋体" w:cs="宋体" w:hAnsi="宋体"/>
          <w:color w:val="000000"/>
        </w:rPr>
        <w:t>. Bidang Hukum</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Muhammadiyah melarang anggotanya bersikap </w:t>
      </w:r>
      <w:r>
        <w:rPr>
          <w:rStyle w:val="style88"/>
          <w:rFonts w:ascii="宋体" w:cs="宋体" w:eastAsia="宋体" w:hAnsi="宋体"/>
          <w:color w:val="000000"/>
        </w:rPr>
        <w:t>taqlid, </w:t>
      </w:r>
      <w:r>
        <w:rPr>
          <w:rFonts w:ascii="宋体" w:cs="宋体" w:hAnsi="宋体"/>
          <w:color w:val="000000"/>
        </w:rPr>
        <w:t>yaitu sikap mengikuti pemikiran ulama tanpa mempertimbangkan argumentasi logis. Dan sikap keberagaman menumal yang dibenarkan oleh Muhammadiyah adalah </w:t>
      </w:r>
      <w:r>
        <w:rPr>
          <w:rStyle w:val="style88"/>
          <w:rFonts w:ascii="宋体" w:cs="宋体" w:eastAsia="宋体" w:hAnsi="宋体"/>
          <w:color w:val="000000"/>
        </w:rPr>
        <w:t>ittiba’, </w:t>
      </w:r>
      <w:r>
        <w:rPr>
          <w:rFonts w:ascii="宋体" w:cs="宋体" w:hAnsi="宋体"/>
          <w:color w:val="000000"/>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pPr>
        <w:pStyle w:val="style0"/>
        <w:numPr>
          <w:ilvl w:val="0"/>
          <w:numId w:val="14"/>
        </w:numPr>
        <w:tabs>
          <w:tab w:val="clear" w:pos="720"/>
        </w:tabs>
        <w:spacing w:lineRule="auto" w:line="360"/>
        <w:ind w:left="284" w:hanging="284"/>
        <w:jc w:val="both"/>
        <w:rPr>
          <w:rFonts w:ascii="宋体" w:cs="宋体" w:hAnsi="宋体"/>
          <w:color w:val="000000"/>
        </w:rPr>
      </w:pPr>
      <w:r>
        <w:rPr>
          <w:rStyle w:val="style88"/>
          <w:rFonts w:ascii="宋体" w:cs="宋体" w:hAnsi="宋体"/>
          <w:color w:val="000000"/>
        </w:rPr>
        <w:t>Ijtihad </w:t>
      </w:r>
      <w:r>
        <w:rPr>
          <w:rFonts w:ascii="宋体" w:cs="宋体" w:hAnsi="宋体"/>
          <w:color w:val="000000"/>
        </w:rPr>
        <w:t>dan </w:t>
      </w:r>
      <w:r>
        <w:rPr>
          <w:rStyle w:val="style88"/>
          <w:rFonts w:ascii="宋体" w:cs="宋体" w:hAnsi="宋体"/>
          <w:color w:val="000000"/>
        </w:rPr>
        <w:t>istinbath </w:t>
      </w:r>
      <w:r>
        <w:rPr>
          <w:rFonts w:ascii="宋体" w:cs="宋体" w:hAnsi="宋体"/>
          <w:color w:val="000000"/>
        </w:rPr>
        <w:t>atas dasar </w:t>
      </w:r>
      <w:r>
        <w:rPr>
          <w:rStyle w:val="style88"/>
          <w:rFonts w:ascii="宋体" w:cs="宋体" w:hAnsi="宋体"/>
          <w:color w:val="000000"/>
        </w:rPr>
        <w:t>‘illah </w:t>
      </w:r>
      <w:r>
        <w:rPr>
          <w:rFonts w:ascii="宋体" w:cs="宋体" w:hAnsi="宋体"/>
          <w:color w:val="000000"/>
        </w:rPr>
        <w:t xml:space="preserve">terhadap hal-hal yang terdapat di dalam </w:t>
      </w:r>
      <w:r>
        <w:rPr>
          <w:rFonts w:ascii="宋体" w:cs="宋体" w:hAnsi="宋体"/>
          <w:color w:val="000000"/>
        </w:rPr>
        <w:t>nash</w:t>
      </w:r>
      <w:r>
        <w:rPr>
          <w:rFonts w:ascii="宋体" w:cs="宋体" w:hAnsi="宋体"/>
          <w:color w:val="000000"/>
        </w:rPr>
        <w:t>, dapat dilakukan sepanjang tidak menyangkut bidang </w:t>
      </w:r>
      <w:r>
        <w:rPr>
          <w:rStyle w:val="style88"/>
          <w:rFonts w:ascii="宋体" w:cs="宋体" w:hAnsi="宋体"/>
          <w:color w:val="000000"/>
        </w:rPr>
        <w:t>ta’abbdi </w:t>
      </w:r>
      <w:r>
        <w:rPr>
          <w:rFonts w:ascii="宋体" w:cs="宋体" w:hAnsi="宋体"/>
          <w:color w:val="000000"/>
        </w:rPr>
        <w:t>dan memang merupakan hal yang diajarkan dalam memenuhi kebutuhan hidup manusia.</w:t>
      </w:r>
    </w:p>
    <w:p>
      <w:pPr>
        <w:pStyle w:val="style0"/>
        <w:numPr>
          <w:ilvl w:val="0"/>
          <w:numId w:val="14"/>
        </w:numPr>
        <w:tabs>
          <w:tab w:val="clear" w:pos="720"/>
        </w:tabs>
        <w:spacing w:lineRule="auto" w:line="360"/>
        <w:ind w:left="284" w:hanging="284"/>
        <w:jc w:val="both"/>
        <w:rPr>
          <w:rFonts w:ascii="宋体" w:cs="宋体" w:hAnsi="宋体"/>
          <w:color w:val="000000"/>
        </w:rPr>
      </w:pPr>
      <w:r>
        <w:rPr>
          <w:rFonts w:ascii="宋体" w:cs="宋体" w:hAnsi="宋体"/>
          <w:color w:val="000000"/>
        </w:rPr>
        <w:t>Tidak mengikatkan diri kepada suatu madzhab, tetapi pendapat madzhab dapat menjadi bahan pertimbangan dalam menetapkan hukum.</w:t>
      </w:r>
    </w:p>
    <w:p>
      <w:pPr>
        <w:pStyle w:val="style0"/>
        <w:numPr>
          <w:ilvl w:val="0"/>
          <w:numId w:val="14"/>
        </w:numPr>
        <w:tabs>
          <w:tab w:val="clear" w:pos="720"/>
        </w:tabs>
        <w:spacing w:lineRule="auto" w:line="360"/>
        <w:ind w:left="284" w:hanging="284"/>
        <w:jc w:val="both"/>
        <w:rPr>
          <w:rFonts w:ascii="宋体" w:cs="宋体" w:hAnsi="宋体"/>
          <w:color w:val="000000"/>
        </w:rPr>
      </w:pPr>
      <w:r>
        <w:rPr>
          <w:rFonts w:ascii="宋体" w:cs="宋体" w:hAnsi="宋体"/>
          <w:color w:val="000000"/>
        </w:rPr>
        <w:t xml:space="preserve">Berprinsip terbuka dan toleran dan tidak beranggapan bahwa hanya Majlis Tarjih yang paling benar. Koreksi dari siapa pun </w:t>
      </w:r>
      <w:r>
        <w:rPr>
          <w:rFonts w:ascii="宋体" w:cs="宋体" w:hAnsi="宋体"/>
          <w:color w:val="000000"/>
        </w:rPr>
        <w:t>akan</w:t>
      </w:r>
      <w:r>
        <w:rPr>
          <w:rFonts w:ascii="宋体" w:cs="宋体" w:hAnsi="宋体"/>
          <w:color w:val="000000"/>
        </w:rPr>
        <w:t xml:space="preserve"> diterima sepanjang diberikan dalil-dalil yang lebih kuat. Dengan demikian, Majlis Tarjih dimungkinkan mengubah keputusan yang pernah ditetapkan.</w:t>
      </w:r>
    </w:p>
    <w:p>
      <w:pPr>
        <w:pStyle w:val="style0"/>
        <w:numPr>
          <w:ilvl w:val="0"/>
          <w:numId w:val="14"/>
        </w:numPr>
        <w:tabs>
          <w:tab w:val="clear" w:pos="720"/>
        </w:tabs>
        <w:spacing w:lineRule="auto" w:line="360"/>
        <w:ind w:left="284" w:hanging="284"/>
        <w:jc w:val="both"/>
        <w:rPr>
          <w:rFonts w:ascii="宋体" w:cs="宋体" w:hAnsi="宋体"/>
          <w:color w:val="000000"/>
        </w:rPr>
      </w:pPr>
      <w:r>
        <w:rPr>
          <w:rFonts w:ascii="宋体" w:cs="宋体" w:hAnsi="宋体"/>
          <w:color w:val="000000"/>
        </w:rPr>
        <w:t>Ibadah ada dua macam, yaitu ibadah khusus, yaitu apa yang telah ditetapkan Allah akan perincian-perinciannya, tingkah dan cara-caranya yang tertentu, dan ibadah umum, yaitu segala perbuatan yang dibolehkan oleh Allah dalam rangka mendekatkan diri kepadaNya.</w:t>
      </w:r>
    </w:p>
    <w:p>
      <w:pPr>
        <w:pStyle w:val="style0"/>
        <w:numPr>
          <w:ilvl w:val="0"/>
          <w:numId w:val="14"/>
        </w:numPr>
        <w:tabs>
          <w:tab w:val="clear" w:pos="720"/>
        </w:tabs>
        <w:spacing w:lineRule="auto" w:line="360"/>
        <w:ind w:left="284" w:hanging="284"/>
        <w:jc w:val="both"/>
        <w:rPr>
          <w:rFonts w:ascii="宋体" w:cs="宋体" w:hAnsi="宋体"/>
          <w:color w:val="000000"/>
        </w:rPr>
      </w:pPr>
      <w:r>
        <w:rPr>
          <w:rFonts w:ascii="宋体" w:cs="宋体" w:hAnsi="宋体"/>
          <w:color w:val="000000"/>
        </w:rPr>
        <w:t xml:space="preserve">Dalam bidang ibadah yang diperoleh ketentuan-ketentuannya dari Alquran dan Sunnah, pemahamannya dapat menggunakan akal sepanjang diketahui latar belakang dan tujuannya. Meskipun harus diakui bahwa akal bersifat nisbi, sehingga prinsip mendahulukan </w:t>
      </w:r>
      <w:r>
        <w:rPr>
          <w:rFonts w:ascii="宋体" w:cs="宋体" w:hAnsi="宋体"/>
          <w:color w:val="000000"/>
        </w:rPr>
        <w:t>nash</w:t>
      </w:r>
      <w:r>
        <w:rPr>
          <w:rFonts w:ascii="宋体" w:cs="宋体" w:hAnsi="宋体"/>
          <w:color w:val="000000"/>
        </w:rPr>
        <w:t xml:space="preserve"> daripada akal memiliki kelenturan dalam menghadapi perubahan.</w:t>
      </w:r>
    </w:p>
    <w:p>
      <w:pPr>
        <w:pStyle w:val="style0"/>
        <w:spacing w:lineRule="auto" w:line="360"/>
        <w:jc w:val="both"/>
        <w:rPr>
          <w:rFonts w:ascii="宋体" w:cs="宋体" w:hAnsi="宋体"/>
          <w:color w:val="000000"/>
        </w:rPr>
      </w:pPr>
      <w:r>
        <w:rPr>
          <w:rStyle w:val="style87"/>
          <w:rFonts w:ascii="宋体" w:cs="宋体" w:hAnsi="宋体"/>
          <w:color w:val="000000"/>
        </w:rPr>
        <w:t>c</w:t>
      </w:r>
      <w:r>
        <w:rPr>
          <w:rStyle w:val="style87"/>
          <w:rFonts w:ascii="宋体" w:cs="宋体" w:hAnsi="宋体"/>
          <w:color w:val="000000"/>
        </w:rPr>
        <w:t>. Bidang Akhlak</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Mengingat pentingnya akhlaq dalam kaitannya dengan keimanan seseorang, maka Muhammadiyah sebagai gerakan Islam juga dengan tegas menempatkan akhlaq sebagai salah satu sendi dasar sikap keberagamaannya. Dalam </w:t>
      </w:r>
      <w:r>
        <w:rPr>
          <w:rStyle w:val="style88"/>
          <w:rFonts w:ascii="宋体" w:cs="宋体" w:eastAsia="宋体" w:hAnsi="宋体"/>
          <w:color w:val="000000"/>
        </w:rPr>
        <w:t>Matan Keyakinan dan Cita-cita Hidup Muhammadiyah </w:t>
      </w:r>
      <w:r>
        <w:rPr>
          <w:rFonts w:ascii="宋体" w:cs="宋体" w:hAnsi="宋体"/>
          <w:color w:val="000000"/>
        </w:rPr>
        <w:t>dijelaskan </w:t>
      </w:r>
      <w:r>
        <w:rPr>
          <w:rStyle w:val="style88"/>
          <w:rFonts w:ascii="宋体" w:cs="宋体" w:eastAsia="宋体" w:hAnsi="宋体"/>
          <w:color w:val="000000"/>
        </w:rPr>
        <w:t>“Muhammadiyah bekerja untuk tegaknya nilai-nilai akhlaq mulia dengan berpedoman kepada ajaran-ajaran Alquran dan Sunnah Rasul, tidak bersendi pada nilai-nilai ciptaan manusia.”</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Pr>
          <w:rStyle w:val="style88"/>
          <w:rFonts w:ascii="宋体" w:cs="宋体" w:eastAsia="宋体" w:hAnsi="宋体"/>
          <w:color w:val="000000"/>
        </w:rPr>
        <w:t>(Al-Akhlaqul Mahmudah)</w:t>
      </w:r>
      <w:r>
        <w:rPr>
          <w:rFonts w:ascii="宋体" w:cs="宋体" w:hAnsi="宋体"/>
          <w:color w:val="000000"/>
        </w:rPr>
        <w:t> dan sombong, takabur, dengki, riya’, ‘uququl walidain dan sebagainya </w:t>
      </w:r>
      <w:r>
        <w:rPr>
          <w:rStyle w:val="style88"/>
          <w:rFonts w:ascii="宋体" w:cs="宋体" w:eastAsia="宋体" w:hAnsi="宋体"/>
          <w:color w:val="000000"/>
        </w:rPr>
        <w:t>(Al-Akhlaqul Madzmuham)</w:t>
      </w:r>
      <w:r>
        <w:rPr>
          <w:rFonts w:ascii="宋体" w:cs="宋体" w:hAnsi="宋体"/>
          <w:color w:val="000000"/>
        </w:rPr>
        <w:t>.</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Mengenai Muhammadiyah menjadikan akhlaq sebagai salah satu garis perjuangannya, hal ini selain secara tegas dinyatakan dalam </w:t>
      </w:r>
      <w:r>
        <w:rPr>
          <w:rStyle w:val="style88"/>
          <w:rFonts w:ascii="宋体" w:cs="宋体" w:eastAsia="宋体" w:hAnsi="宋体"/>
          <w:color w:val="000000"/>
        </w:rPr>
        <w:t>nash</w:t>
      </w:r>
      <w:r>
        <w:rPr>
          <w:rStyle w:val="style88"/>
          <w:rFonts w:ascii="宋体" w:cs="宋体" w:eastAsia="宋体" w:hAnsi="宋体"/>
          <w:color w:val="000000"/>
        </w:rPr>
        <w:t>, </w:t>
      </w:r>
      <w:r>
        <w:rPr>
          <w:rFonts w:ascii="宋体" w:cs="宋体" w:hAnsi="宋体"/>
          <w:color w:val="000000"/>
        </w:rPr>
        <w:t>juga tidak dapat dipisahkan dari akar historis yang melatarbelakangi kelahirannya. Kebodohan, perpecahan di antara sesama orang Islam, melemahnya jiwa santun terhadap </w:t>
      </w:r>
      <w:r>
        <w:rPr>
          <w:rStyle w:val="style88"/>
          <w:rFonts w:ascii="宋体" w:cs="宋体" w:eastAsia="宋体" w:hAnsi="宋体"/>
          <w:color w:val="000000"/>
        </w:rPr>
        <w:t>dhu’afa’</w:t>
      </w:r>
      <w:r>
        <w:rPr>
          <w:rFonts w:ascii="宋体" w:cs="宋体" w:hAnsi="宋体"/>
          <w:color w:val="000000"/>
        </w:rPr>
        <w:t>, pernghormatan yang berlebi-lebihan terhadap orang yang dianggap suci dan lain-lain, adalah bentuk realisasi tidak tegaknya ajaran </w:t>
      </w:r>
      <w:r>
        <w:rPr>
          <w:rStyle w:val="style88"/>
          <w:rFonts w:ascii="宋体" w:cs="宋体" w:eastAsia="宋体" w:hAnsi="宋体"/>
          <w:color w:val="000000"/>
        </w:rPr>
        <w:t>akhlaqul karimah.</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Untuk menghidupkan akhlaq yang </w:t>
      </w:r>
      <w:r>
        <w:rPr>
          <w:rStyle w:val="style88"/>
          <w:rFonts w:ascii="宋体" w:cs="宋体" w:eastAsia="宋体" w:hAnsi="宋体"/>
          <w:color w:val="000000"/>
        </w:rPr>
        <w:t>islami</w:t>
      </w:r>
      <w:r>
        <w:rPr>
          <w:rFonts w:ascii="宋体" w:cs="宋体" w:hAnsi="宋体"/>
          <w:color w:val="000000"/>
        </w:rPr>
        <w:t>, maka Muhammadiyah berusaha memperbaiki dasar-dasar ajaran yang sudah lama menjadi keyakinan umat Islam, yaitu dengan menyampaikan ajaran yang benar-benar berdasar pada ajaran Alquran dan </w:t>
      </w:r>
      <w:r>
        <w:rPr>
          <w:rStyle w:val="style88"/>
          <w:rFonts w:ascii="宋体" w:cs="宋体" w:eastAsia="宋体" w:hAnsi="宋体"/>
          <w:color w:val="000000"/>
        </w:rPr>
        <w:t>Sunnah Maqbulah, </w:t>
      </w:r>
      <w:r>
        <w:rPr>
          <w:rFonts w:ascii="宋体" w:cs="宋体" w:hAnsi="宋体"/>
          <w:color w:val="000000"/>
        </w:rPr>
        <w:t xml:space="preserve">membersihkan jiwa dari kesyirikan, sehingga kepatuhan dan ketundukan hanya semata-mata kepada Allah. Usaha tersebut ditempuh melalui pendidikan, sehingga sifat bodoh dan inferoritas berangsur-angsur habis kemudian membina ukhuwah antar sesame </w:t>
      </w:r>
      <w:r>
        <w:rPr>
          <w:rFonts w:ascii="宋体" w:cs="宋体" w:hAnsi="宋体"/>
          <w:color w:val="000000"/>
        </w:rPr>
        <w:t>muslim</w:t>
      </w:r>
      <w:r>
        <w:rPr>
          <w:rFonts w:ascii="宋体" w:cs="宋体" w:hAnsi="宋体"/>
          <w:color w:val="000000"/>
        </w:rPr>
        <w:t xml:space="preserve"> yang disemangati oleh Surat Ali Imron ayat 103.</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Adapun sifat-sifat akhlak Islam dapat digambarkan sebagai berikut:</w:t>
      </w:r>
    </w:p>
    <w:p>
      <w:pPr>
        <w:pStyle w:val="style0"/>
        <w:numPr>
          <w:ilvl w:val="0"/>
          <w:numId w:val="3"/>
        </w:numPr>
        <w:tabs>
          <w:tab w:val="clear" w:pos="720"/>
        </w:tabs>
        <w:spacing w:lineRule="auto" w:line="360"/>
        <w:ind w:left="284" w:hanging="284"/>
        <w:jc w:val="both"/>
        <w:rPr>
          <w:rFonts w:ascii="宋体" w:cs="宋体" w:hAnsi="宋体"/>
          <w:color w:val="000000"/>
        </w:rPr>
      </w:pPr>
      <w:r>
        <w:rPr>
          <w:rFonts w:ascii="宋体" w:cs="宋体" w:hAnsi="宋体"/>
          <w:color w:val="000000"/>
        </w:rPr>
        <w:t xml:space="preserve">Akhlaq </w:t>
      </w:r>
      <w:r>
        <w:rPr>
          <w:rFonts w:ascii="宋体" w:cs="宋体" w:hAnsi="宋体"/>
          <w:color w:val="000000"/>
        </w:rPr>
        <w:t>Rabbani :</w:t>
      </w:r>
      <w:r>
        <w:rPr>
          <w:rFonts w:ascii="宋体" w:cs="宋体" w:hAnsi="宋体"/>
          <w:color w:val="000000"/>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r>
        <w:rPr>
          <w:rFonts w:ascii="宋体" w:cs="宋体" w:hAnsi="宋体"/>
          <w:color w:val="000000"/>
        </w:rPr>
        <w:t>6 :</w:t>
      </w:r>
      <w:r>
        <w:rPr>
          <w:rFonts w:ascii="宋体" w:cs="宋体" w:hAnsi="宋体"/>
          <w:color w:val="000000"/>
        </w:rPr>
        <w:t xml:space="preserve"> 153).</w:t>
      </w:r>
    </w:p>
    <w:p>
      <w:pPr>
        <w:pStyle w:val="style0"/>
        <w:numPr>
          <w:ilvl w:val="0"/>
          <w:numId w:val="3"/>
        </w:numPr>
        <w:tabs>
          <w:tab w:val="clear" w:pos="720"/>
        </w:tabs>
        <w:spacing w:lineRule="auto" w:line="360"/>
        <w:ind w:left="284" w:hanging="284"/>
        <w:jc w:val="both"/>
        <w:rPr>
          <w:rFonts w:ascii="宋体" w:cs="宋体" w:hAnsi="宋体"/>
          <w:color w:val="000000"/>
        </w:rPr>
      </w:pPr>
      <w:r>
        <w:rPr>
          <w:rFonts w:ascii="宋体" w:cs="宋体" w:hAnsi="宋体"/>
          <w:color w:val="000000"/>
        </w:rPr>
        <w:t xml:space="preserve">Akhlak Manusiawi. Akhlaq dalam Islam sejalan dan memenuhi fitrah manusia. Jiwa manusia yang merindukan kebaikan, dan </w:t>
      </w:r>
      <w:r>
        <w:rPr>
          <w:rFonts w:ascii="宋体" w:cs="宋体" w:hAnsi="宋体"/>
          <w:color w:val="000000"/>
        </w:rPr>
        <w:t>akan</w:t>
      </w:r>
      <w:r>
        <w:rPr>
          <w:rFonts w:ascii="宋体" w:cs="宋体" w:hAnsi="宋体"/>
          <w:color w:val="000000"/>
        </w:rPr>
        <w:t xml:space="preserve"> terpenuhi dengan mengikuti ajaran akhlaq dalam Islam. Akhlaq Islam benar-benar memelihara eksistensi manusia sebagai makhluk terhormat sesuai dengan fitrahnya.</w:t>
      </w:r>
    </w:p>
    <w:p>
      <w:pPr>
        <w:pStyle w:val="style0"/>
        <w:numPr>
          <w:ilvl w:val="0"/>
          <w:numId w:val="3"/>
        </w:numPr>
        <w:tabs>
          <w:tab w:val="clear" w:pos="720"/>
        </w:tabs>
        <w:spacing w:lineRule="auto" w:line="360"/>
        <w:ind w:left="284" w:hanging="284"/>
        <w:jc w:val="both"/>
        <w:rPr>
          <w:rFonts w:ascii="宋体" w:cs="宋体" w:hAnsi="宋体"/>
          <w:color w:val="000000"/>
        </w:rPr>
      </w:pPr>
      <w:r>
        <w:rPr>
          <w:rFonts w:ascii="宋体" w:cs="宋体" w:hAnsi="宋体"/>
          <w:color w:val="000000"/>
        </w:rPr>
        <w:t>Akhlak Universal. Sesuai dengan kemanusiaan yang universal dan menyangkut segala aspek kehidupan manusia baik yang berdimensi vertikal, maupun horizontal. (Q.S. Al-</w:t>
      </w:r>
      <w:r>
        <w:rPr>
          <w:rFonts w:ascii="宋体" w:cs="宋体" w:hAnsi="宋体"/>
          <w:color w:val="000000"/>
        </w:rPr>
        <w:t>An’nam :</w:t>
      </w:r>
      <w:r>
        <w:rPr>
          <w:rFonts w:ascii="宋体" w:cs="宋体" w:hAnsi="宋体"/>
          <w:color w:val="000000"/>
        </w:rPr>
        <w:t xml:space="preserve"> 151-152).</w:t>
      </w:r>
    </w:p>
    <w:p>
      <w:pPr>
        <w:pStyle w:val="style0"/>
        <w:numPr>
          <w:ilvl w:val="0"/>
          <w:numId w:val="3"/>
        </w:numPr>
        <w:tabs>
          <w:tab w:val="clear" w:pos="720"/>
        </w:tabs>
        <w:spacing w:lineRule="auto" w:line="360"/>
        <w:ind w:left="284" w:hanging="284"/>
        <w:jc w:val="both"/>
        <w:rPr>
          <w:rFonts w:ascii="宋体" w:cs="宋体" w:hAnsi="宋体"/>
          <w:color w:val="000000"/>
        </w:rPr>
      </w:pPr>
      <w:r>
        <w:rPr>
          <w:rFonts w:ascii="宋体" w:cs="宋体" w:hAnsi="宋体"/>
          <w:color w:val="000000"/>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pPr>
        <w:pStyle w:val="style0"/>
        <w:numPr>
          <w:ilvl w:val="0"/>
          <w:numId w:val="3"/>
        </w:numPr>
        <w:tabs>
          <w:tab w:val="clear" w:pos="720"/>
        </w:tabs>
        <w:spacing w:lineRule="auto" w:line="360"/>
        <w:ind w:left="284" w:hanging="284"/>
        <w:jc w:val="both"/>
        <w:rPr>
          <w:rFonts w:ascii="宋体" w:cs="宋体" w:hAnsi="宋体"/>
          <w:color w:val="000000"/>
        </w:rPr>
      </w:pPr>
      <w:r>
        <w:rPr>
          <w:rFonts w:ascii="宋体" w:cs="宋体" w:hAnsi="宋体"/>
          <w:color w:val="000000"/>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r>
        <w:rPr>
          <w:rFonts w:ascii="宋体" w:cs="宋体" w:hAnsi="宋体"/>
          <w:color w:val="000000"/>
        </w:rPr>
        <w:t>27 :</w:t>
      </w:r>
      <w:r>
        <w:rPr>
          <w:rFonts w:ascii="宋体" w:cs="宋体" w:hAnsi="宋体"/>
          <w:color w:val="000000"/>
        </w:rPr>
        <w:t xml:space="preserve"> 173)</w:t>
      </w:r>
      <w:r>
        <w:rPr>
          <w:rFonts w:ascii="宋体" w:cs="宋体" w:hAnsi="宋体"/>
          <w:color w:val="000000"/>
        </w:rPr>
        <w:t>.</w:t>
      </w:r>
    </w:p>
    <w:p>
      <w:pPr>
        <w:pStyle w:val="style0"/>
        <w:spacing w:lineRule="auto" w:line="360"/>
        <w:jc w:val="both"/>
        <w:rPr>
          <w:rFonts w:ascii="宋体" w:cs="宋体" w:hAnsi="宋体"/>
          <w:color w:val="000000"/>
        </w:rPr>
      </w:pPr>
    </w:p>
    <w:p>
      <w:pPr>
        <w:pStyle w:val="style0"/>
        <w:spacing w:lineRule="auto" w:line="360"/>
        <w:jc w:val="both"/>
        <w:rPr>
          <w:rFonts w:ascii="宋体" w:cs="宋体" w:hAnsi="宋体"/>
          <w:color w:val="000000"/>
        </w:rPr>
      </w:pPr>
      <w:r>
        <w:rPr>
          <w:rStyle w:val="style87"/>
          <w:rFonts w:ascii="宋体" w:cs="宋体" w:hAnsi="宋体"/>
          <w:color w:val="000000"/>
        </w:rPr>
        <w:t>d</w:t>
      </w:r>
      <w:r>
        <w:rPr>
          <w:rStyle w:val="style87"/>
          <w:rFonts w:ascii="宋体" w:cs="宋体" w:hAnsi="宋体"/>
          <w:color w:val="000000"/>
        </w:rPr>
        <w:t>. Bidang Mu’amalah Dunyawiyah</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Mua’malah :</w:t>
      </w:r>
      <w:r>
        <w:rPr>
          <w:rFonts w:ascii="宋体" w:cs="宋体" w:hAnsi="宋体"/>
          <w:color w:val="000000"/>
        </w:rPr>
        <w:t xml:space="preserve"> Aspek kemasyarakatan yang mengatur pegaulan hidup manusia diatas bumi ini, baik tentang harta benda, perjanjian-perjanjian, ketatanegaraan, hubungan antar negara dan lain sebagainya.</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Di dalam prinsip-prinsip Majlis Tarjih poin 14 disebutkan </w:t>
      </w:r>
      <w:r>
        <w:rPr>
          <w:rStyle w:val="style88"/>
          <w:rFonts w:ascii="宋体" w:cs="宋体" w:eastAsia="宋体" w:hAnsi="宋体"/>
          <w:color w:val="000000"/>
        </w:rPr>
        <w:t>“Dalam hal-hal termasuk Al-Umurud Dunyawiyah yang tidak termasuk tugas para nabi, menggunakan akal sangat diperlukan, demi untuk tercapainya kemaslahatan umat.”</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Adapun prinsip-prinsip </w:t>
      </w:r>
      <w:r>
        <w:rPr>
          <w:rStyle w:val="style88"/>
          <w:rFonts w:ascii="宋体" w:cs="宋体" w:eastAsia="宋体" w:hAnsi="宋体"/>
          <w:color w:val="000000"/>
        </w:rPr>
        <w:t>mu’amalah dunyawiyah </w:t>
      </w:r>
      <w:r>
        <w:rPr>
          <w:rFonts w:ascii="宋体" w:cs="宋体" w:hAnsi="宋体"/>
          <w:color w:val="000000"/>
        </w:rPr>
        <w:t>yang terpenting antara lain:</w:t>
      </w:r>
    </w:p>
    <w:p>
      <w:pPr>
        <w:pStyle w:val="style0"/>
        <w:numPr>
          <w:ilvl w:val="0"/>
          <w:numId w:val="9"/>
        </w:numPr>
        <w:tabs>
          <w:tab w:val="clear" w:pos="720"/>
        </w:tabs>
        <w:spacing w:lineRule="auto" w:line="360"/>
        <w:ind w:left="284" w:hanging="284"/>
        <w:jc w:val="both"/>
        <w:rPr>
          <w:rFonts w:ascii="宋体" w:cs="宋体" w:hAnsi="宋体"/>
          <w:color w:val="000000"/>
        </w:rPr>
      </w:pPr>
      <w:r>
        <w:rPr>
          <w:rFonts w:ascii="宋体" w:cs="宋体" w:hAnsi="宋体"/>
          <w:color w:val="000000"/>
        </w:rPr>
        <w:t>Menganut prinsip </w:t>
      </w:r>
      <w:r>
        <w:rPr>
          <w:rStyle w:val="style88"/>
          <w:rFonts w:ascii="宋体" w:cs="宋体" w:hAnsi="宋体"/>
          <w:color w:val="000000"/>
        </w:rPr>
        <w:t>mubah.</w:t>
      </w:r>
    </w:p>
    <w:p>
      <w:pPr>
        <w:pStyle w:val="style0"/>
        <w:numPr>
          <w:ilvl w:val="0"/>
          <w:numId w:val="9"/>
        </w:numPr>
        <w:tabs>
          <w:tab w:val="clear" w:pos="720"/>
        </w:tabs>
        <w:spacing w:lineRule="auto" w:line="360"/>
        <w:ind w:left="284" w:hanging="284"/>
        <w:jc w:val="both"/>
        <w:rPr>
          <w:rFonts w:ascii="宋体" w:cs="宋体" w:hAnsi="宋体"/>
          <w:color w:val="000000"/>
        </w:rPr>
      </w:pPr>
      <w:r>
        <w:rPr>
          <w:rFonts w:ascii="宋体" w:cs="宋体" w:hAnsi="宋体"/>
          <w:color w:val="000000"/>
        </w:rPr>
        <w:t>Harus dilakukan dengan saling rela artinya tidak ada yang dipaksa.</w:t>
      </w:r>
    </w:p>
    <w:p>
      <w:pPr>
        <w:pStyle w:val="style0"/>
        <w:numPr>
          <w:ilvl w:val="0"/>
          <w:numId w:val="9"/>
        </w:numPr>
        <w:tabs>
          <w:tab w:val="clear" w:pos="720"/>
        </w:tabs>
        <w:spacing w:lineRule="auto" w:line="360"/>
        <w:ind w:left="284" w:hanging="284"/>
        <w:jc w:val="both"/>
        <w:rPr>
          <w:rFonts w:ascii="宋体" w:cs="宋体" w:hAnsi="宋体"/>
          <w:color w:val="000000"/>
        </w:rPr>
      </w:pPr>
      <w:r>
        <w:rPr>
          <w:rFonts w:ascii="宋体" w:cs="宋体" w:hAnsi="宋体"/>
          <w:color w:val="000000"/>
        </w:rPr>
        <w:t>Harus saling menguntungkan. Artinya </w:t>
      </w:r>
      <w:r>
        <w:rPr>
          <w:rStyle w:val="style88"/>
          <w:rFonts w:ascii="宋体" w:cs="宋体" w:hAnsi="宋体"/>
          <w:color w:val="000000"/>
        </w:rPr>
        <w:t>mu’amalah </w:t>
      </w:r>
      <w:r>
        <w:rPr>
          <w:rFonts w:ascii="宋体" w:cs="宋体" w:hAnsi="宋体"/>
          <w:color w:val="000000"/>
        </w:rPr>
        <w:t>dilakukan untuk menarik mamfaat dan menolak kemudharatan.</w:t>
      </w:r>
    </w:p>
    <w:p>
      <w:pPr>
        <w:pStyle w:val="style0"/>
        <w:numPr>
          <w:ilvl w:val="0"/>
          <w:numId w:val="9"/>
        </w:numPr>
        <w:tabs>
          <w:tab w:val="clear" w:pos="720"/>
        </w:tabs>
        <w:spacing w:lineRule="auto" w:line="360"/>
        <w:ind w:left="284" w:hanging="284"/>
        <w:jc w:val="both"/>
        <w:rPr>
          <w:rFonts w:ascii="宋体" w:cs="宋体" w:hAnsi="宋体"/>
          <w:color w:val="000000"/>
        </w:rPr>
      </w:pPr>
      <w:r>
        <w:rPr>
          <w:rFonts w:ascii="宋体" w:cs="宋体" w:hAnsi="宋体"/>
          <w:color w:val="000000"/>
        </w:rPr>
        <w:t>Harus sesuai dengan prinsip keadilan.</w:t>
      </w:r>
    </w:p>
    <w:p>
      <w:pPr>
        <w:pStyle w:val="style0"/>
        <w:spacing w:lineRule="auto" w:line="360"/>
        <w:jc w:val="both"/>
        <w:rPr>
          <w:rFonts w:ascii="宋体" w:cs="宋体" w:hAnsi="宋体"/>
          <w:color w:val="000000"/>
        </w:rPr>
      </w:pPr>
    </w:p>
    <w:p>
      <w:pPr>
        <w:pStyle w:val="style0"/>
        <w:spacing w:lineRule="auto" w:line="360"/>
        <w:jc w:val="both"/>
        <w:rPr>
          <w:rFonts w:ascii="宋体" w:cs="宋体" w:hAnsi="宋体"/>
          <w:color w:val="000000"/>
        </w:rPr>
      </w:pPr>
      <w:r>
        <w:rPr>
          <w:rStyle w:val="style87"/>
          <w:rFonts w:ascii="宋体" w:cs="宋体" w:hAnsi="宋体"/>
          <w:color w:val="000000"/>
        </w:rPr>
        <w:t>C. Metodologi Ijtihad</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 xml:space="preserve">Jalan Ijtihad yang ditempuh Majlis Tarjih </w:t>
      </w:r>
      <w:r>
        <w:rPr>
          <w:rFonts w:ascii="宋体" w:cs="宋体" w:hAnsi="宋体"/>
          <w:color w:val="000000"/>
        </w:rPr>
        <w:t>meliputi :</w:t>
      </w:r>
    </w:p>
    <w:p>
      <w:pPr>
        <w:pStyle w:val="style0"/>
        <w:numPr>
          <w:ilvl w:val="0"/>
          <w:numId w:val="5"/>
        </w:numPr>
        <w:tabs>
          <w:tab w:val="clear" w:pos="720"/>
        </w:tabs>
        <w:spacing w:lineRule="auto" w:line="360"/>
        <w:ind w:left="284" w:hanging="284"/>
        <w:jc w:val="both"/>
        <w:rPr>
          <w:rFonts w:ascii="宋体" w:cs="宋体" w:hAnsi="宋体"/>
          <w:color w:val="000000"/>
        </w:rPr>
      </w:pPr>
      <w:r>
        <w:rPr>
          <w:rFonts w:ascii="宋体" w:cs="宋体" w:hAnsi="宋体"/>
          <w:color w:val="000000"/>
        </w:rPr>
        <w:t xml:space="preserve">Ijtihad Bayan : yaitu ijtihad terhadap ayat yang mujmal baik karena belum jelas maksud lafadz yang dimaksud, maupun karena lafadz itu mengandung makna ganda, mengandung arti musytarak ataupun karena pengertian lafadz dalam ungkapan yang konteksnya mempunyai arti yang jumbuh </w:t>
      </w:r>
      <w:r>
        <w:rPr>
          <w:rFonts w:ascii="宋体" w:cs="宋体" w:hAnsi="宋体"/>
          <w:color w:val="000000"/>
        </w:rPr>
        <w:t>(mutasyabih) ataupun adanya beberapa dalil yang bertentangan (ta’arrudl) dalam hal terakhir digunakan cara jama’ dan talfiq.</w:t>
      </w:r>
    </w:p>
    <w:p>
      <w:pPr>
        <w:pStyle w:val="style0"/>
        <w:numPr>
          <w:ilvl w:val="0"/>
          <w:numId w:val="5"/>
        </w:numPr>
        <w:tabs>
          <w:tab w:val="clear" w:pos="720"/>
        </w:tabs>
        <w:spacing w:lineRule="auto" w:line="360"/>
        <w:ind w:left="284" w:hanging="284"/>
        <w:jc w:val="both"/>
        <w:rPr>
          <w:rFonts w:ascii="宋体" w:cs="宋体" w:hAnsi="宋体"/>
          <w:color w:val="000000"/>
        </w:rPr>
      </w:pPr>
      <w:r>
        <w:rPr>
          <w:rStyle w:val="style88"/>
          <w:rFonts w:ascii="宋体" w:cs="宋体" w:hAnsi="宋体"/>
          <w:color w:val="000000"/>
        </w:rPr>
        <w:t>Ijma’</w:t>
      </w:r>
      <w:r>
        <w:rPr>
          <w:rFonts w:ascii="宋体" w:cs="宋体" w:hAnsi="宋体"/>
          <w:color w:val="000000"/>
        </w:rPr>
        <w:t>: Kesepakatan para imam mujtahid di kalangan umat Islam tentang suatu hukum Islam pada suatu masa (masa sahabat setelah Rasulullah wafat). Menurut kebanyakan para ulama, hasil </w:t>
      </w:r>
      <w:r>
        <w:rPr>
          <w:rStyle w:val="style88"/>
          <w:rFonts w:ascii="宋体" w:cs="宋体" w:hAnsi="宋体"/>
          <w:color w:val="000000"/>
        </w:rPr>
        <w:t>ijma’</w:t>
      </w:r>
      <w:r>
        <w:rPr>
          <w:rFonts w:ascii="宋体" w:cs="宋体" w:hAnsi="宋体"/>
          <w:color w:val="000000"/>
        </w:rPr>
        <w:t> dipandang sebagai salah satu sumber hukum Islam sesudah Alquran dan Sunnah. Pemikiran tentang </w:t>
      </w:r>
      <w:r>
        <w:rPr>
          <w:rStyle w:val="style88"/>
          <w:rFonts w:ascii="宋体" w:cs="宋体" w:hAnsi="宋体"/>
          <w:color w:val="000000"/>
        </w:rPr>
        <w:t>ijma’</w:t>
      </w:r>
      <w:r>
        <w:rPr>
          <w:rFonts w:ascii="宋体" w:cs="宋体" w:hAnsi="宋体"/>
          <w:color w:val="000000"/>
        </w:rPr>
        <w:t> berkembang sejak masa sahabat sampai masa sekarang, sampai masa para imam mujtahid.</w:t>
      </w:r>
    </w:p>
    <w:p>
      <w:pPr>
        <w:pStyle w:val="style0"/>
        <w:numPr>
          <w:ilvl w:val="0"/>
          <w:numId w:val="5"/>
        </w:numPr>
        <w:tabs>
          <w:tab w:val="clear" w:pos="720"/>
        </w:tabs>
        <w:spacing w:lineRule="auto" w:line="360"/>
        <w:ind w:left="284" w:hanging="284"/>
        <w:jc w:val="both"/>
        <w:rPr>
          <w:rFonts w:ascii="宋体" w:cs="宋体" w:hAnsi="宋体"/>
          <w:color w:val="000000"/>
        </w:rPr>
      </w:pPr>
      <w:r>
        <w:rPr>
          <w:rStyle w:val="style88"/>
          <w:rFonts w:ascii="宋体" w:cs="宋体" w:hAnsi="宋体"/>
          <w:color w:val="000000"/>
        </w:rPr>
        <w:t>Qiyas</w:t>
      </w:r>
      <w:r>
        <w:rPr>
          <w:rFonts w:ascii="宋体" w:cs="宋体" w:hAnsi="宋体"/>
          <w:color w:val="000000"/>
        </w:rPr>
        <w:t>: Menyamakan sesuatu hal yang tidak disebutkan hukumnya di dalam </w:t>
      </w:r>
      <w:r>
        <w:rPr>
          <w:rStyle w:val="style88"/>
          <w:rFonts w:ascii="宋体" w:cs="宋体" w:hAnsi="宋体"/>
          <w:color w:val="000000"/>
        </w:rPr>
        <w:t>nash</w:t>
      </w:r>
      <w:r>
        <w:rPr>
          <w:rFonts w:ascii="宋体" w:cs="宋体" w:hAnsi="宋体"/>
          <w:color w:val="000000"/>
        </w:rPr>
        <w:t>, dengan hal yang disebutkan hukumnya di dalam </w:t>
      </w:r>
      <w:r>
        <w:rPr>
          <w:rStyle w:val="style88"/>
          <w:rFonts w:ascii="宋体" w:cs="宋体" w:hAnsi="宋体"/>
          <w:color w:val="000000"/>
        </w:rPr>
        <w:t>nash</w:t>
      </w:r>
      <w:r>
        <w:rPr>
          <w:rFonts w:ascii="宋体" w:cs="宋体" w:hAnsi="宋体"/>
          <w:color w:val="000000"/>
        </w:rPr>
        <w:t>, karena adanya persamaan </w:t>
      </w:r>
      <w:r>
        <w:rPr>
          <w:rStyle w:val="style88"/>
          <w:rFonts w:ascii="宋体" w:cs="宋体" w:hAnsi="宋体"/>
          <w:color w:val="000000"/>
        </w:rPr>
        <w:t>illat</w:t>
      </w:r>
      <w:r>
        <w:rPr>
          <w:rFonts w:ascii="宋体" w:cs="宋体" w:hAnsi="宋体"/>
          <w:color w:val="000000"/>
        </w:rPr>
        <w:t> (sebab) hukum pada dua macam hal tersebut, contoh: hukum wajib zakat atas padi yang dikenakan pada gandum. Untuk Qiyas digunakan dalam bidang muamalah duniawiyah, tidak berlaku untuk bidang ibadah mahdlah. La qiyasa fil ibadah.</w:t>
      </w:r>
    </w:p>
    <w:p>
      <w:pPr>
        <w:pStyle w:val="style0"/>
        <w:numPr>
          <w:ilvl w:val="0"/>
          <w:numId w:val="5"/>
        </w:numPr>
        <w:tabs>
          <w:tab w:val="clear" w:pos="720"/>
        </w:tabs>
        <w:spacing w:lineRule="auto" w:line="360"/>
        <w:ind w:left="284" w:hanging="284"/>
        <w:jc w:val="both"/>
        <w:rPr>
          <w:rFonts w:ascii="宋体" w:cs="宋体" w:hAnsi="宋体"/>
          <w:color w:val="000000"/>
        </w:rPr>
      </w:pPr>
      <w:r>
        <w:rPr>
          <w:rStyle w:val="style88"/>
          <w:rFonts w:ascii="宋体" w:cs="宋体" w:hAnsi="宋体"/>
          <w:color w:val="000000"/>
        </w:rPr>
        <w:t>Maslahah</w:t>
      </w:r>
      <w:r>
        <w:rPr>
          <w:rFonts w:ascii="宋体" w:cs="宋体" w:hAnsi="宋体"/>
          <w:color w:val="000000"/>
        </w:rPr>
        <w:t>, atau </w:t>
      </w:r>
      <w:r>
        <w:rPr>
          <w:rStyle w:val="style88"/>
          <w:rFonts w:ascii="宋体" w:cs="宋体" w:hAnsi="宋体"/>
          <w:color w:val="000000"/>
        </w:rPr>
        <w:t>Istislah</w:t>
      </w:r>
      <w:r>
        <w:rPr>
          <w:rFonts w:ascii="宋体" w:cs="宋体" w:hAnsi="宋体"/>
          <w:color w:val="000000"/>
        </w:rPr>
        <w:t xml:space="preserve">. Yaitu, menetapkan hukum yang </w:t>
      </w:r>
      <w:r>
        <w:rPr>
          <w:rFonts w:ascii="宋体" w:cs="宋体" w:hAnsi="宋体"/>
          <w:color w:val="000000"/>
        </w:rPr>
        <w:t>sama</w:t>
      </w:r>
      <w:r>
        <w:rPr>
          <w:rFonts w:ascii="宋体" w:cs="宋体" w:hAnsi="宋体"/>
          <w:color w:val="000000"/>
        </w:rPr>
        <w:t xml:space="preserve"> sekali tidak disebutkan dalam </w:t>
      </w:r>
      <w:r>
        <w:rPr>
          <w:rStyle w:val="style88"/>
          <w:rFonts w:ascii="宋体" w:cs="宋体" w:hAnsi="宋体"/>
          <w:color w:val="000000"/>
        </w:rPr>
        <w:t>nash</w:t>
      </w:r>
      <w:r>
        <w:rPr>
          <w:rFonts w:ascii="宋体" w:cs="宋体" w:hAnsi="宋体"/>
          <w:color w:val="000000"/>
        </w:rPr>
        <w:t> dengan pertimbangan untuk kepentingan hidup manusia yang bersendikan mamfaat dan menghindarkan </w:t>
      </w:r>
      <w:r>
        <w:rPr>
          <w:rStyle w:val="style88"/>
          <w:rFonts w:ascii="宋体" w:cs="宋体" w:hAnsi="宋体"/>
          <w:color w:val="000000"/>
        </w:rPr>
        <w:t>madlarat</w:t>
      </w:r>
      <w:r>
        <w:rPr>
          <w:rFonts w:ascii="宋体" w:cs="宋体" w:hAnsi="宋体"/>
          <w:color w:val="000000"/>
        </w:rPr>
        <w:t>. Contoh, mengharuskan pernikahan dicatat, tidak ada satu </w:t>
      </w:r>
      <w:r>
        <w:rPr>
          <w:rStyle w:val="style88"/>
          <w:rFonts w:ascii="宋体" w:cs="宋体" w:hAnsi="宋体"/>
          <w:color w:val="000000"/>
        </w:rPr>
        <w:t>nash</w:t>
      </w:r>
      <w:r>
        <w:rPr>
          <w:rFonts w:ascii="宋体" w:cs="宋体" w:hAnsi="宋体"/>
          <w:color w:val="000000"/>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pPr>
        <w:pStyle w:val="style0"/>
        <w:numPr>
          <w:ilvl w:val="0"/>
          <w:numId w:val="5"/>
        </w:numPr>
        <w:tabs>
          <w:tab w:val="clear" w:pos="720"/>
        </w:tabs>
        <w:spacing w:lineRule="auto" w:line="360"/>
        <w:ind w:left="284" w:hanging="284"/>
        <w:jc w:val="both"/>
        <w:rPr>
          <w:rFonts w:ascii="宋体" w:cs="宋体" w:hAnsi="宋体"/>
          <w:color w:val="000000"/>
        </w:rPr>
      </w:pPr>
      <w:r>
        <w:rPr>
          <w:rStyle w:val="style88"/>
          <w:rFonts w:ascii="宋体" w:cs="宋体" w:hAnsi="宋体"/>
          <w:color w:val="000000"/>
        </w:rPr>
        <w:t>Istihsan</w:t>
      </w:r>
      <w:r>
        <w:rPr>
          <w:rFonts w:ascii="宋体" w:cs="宋体" w:hAnsi="宋体"/>
          <w:color w:val="000000"/>
        </w:rPr>
        <w:t xml:space="preserve">: yaitu memandang lebih baik, sesuai dengan tujuan syariat, untuk meninggalkan ketentuan dalil khusus dan mengamalkan dalil umum. Contoh: Harta zakat tidak boleh dipindah tangankan dengan </w:t>
      </w:r>
      <w:r>
        <w:rPr>
          <w:rFonts w:ascii="宋体" w:cs="宋体" w:hAnsi="宋体"/>
          <w:color w:val="000000"/>
        </w:rPr>
        <w:t>cara</w:t>
      </w:r>
      <w:r>
        <w:rPr>
          <w:rFonts w:ascii="宋体" w:cs="宋体" w:hAnsi="宋体"/>
          <w:color w:val="000000"/>
        </w:rPr>
        <w:t xml:space="preserve"> dijual, diwariskan, atau dihibahkan. Tetapi kalau tujuan perwakafan (tujuan syar’i) tidak mungkin tercapai, larangan tersebut dapat diabaikan, untuk dipindah tangankan, atau dijual, diwariskan atau dihibahkan. </w:t>
      </w:r>
      <w:r>
        <w:rPr>
          <w:rFonts w:ascii="宋体" w:cs="宋体" w:hAnsi="宋体"/>
          <w:color w:val="000000"/>
        </w:rPr>
        <w:t>Contoh :</w:t>
      </w:r>
      <w:r>
        <w:rPr>
          <w:rFonts w:ascii="宋体" w:cs="宋体" w:hAnsi="宋体"/>
          <w:color w:val="000000"/>
        </w:rPr>
        <w:t xml:space="preserve"> Mewakafkan tanah untuk tujuan pendidikan Islam. Tanah tersebut terkena pelebaran jalan, tanah tersebut dapat dipindahtangankan dengan dijual, dibelikan tanah ditempat lain untuk pendidikan Islam yang menjadi tujuan syariah diatas.</w:t>
      </w:r>
    </w:p>
    <w:p>
      <w:pPr>
        <w:pStyle w:val="style0"/>
        <w:spacing w:lineRule="auto" w:line="360"/>
        <w:ind w:left="284"/>
        <w:jc w:val="both"/>
        <w:rPr>
          <w:rFonts w:ascii="宋体" w:cs="宋体" w:eastAsia="Times New Roman" w:hAnsi="宋体"/>
          <w:color w:val="000000"/>
          <w:lang w:val="id-ID"/>
        </w:rPr>
      </w:pPr>
      <w:r>
        <w:rPr>
          <w:rFonts w:ascii="宋体" w:cs="宋体" w:hAnsi="宋体"/>
          <w:color w:val="000000"/>
          <w:lang w:val="id-ID"/>
        </w:rPr>
        <w:t>Se</w:t>
      </w:r>
      <w:r>
        <w:rPr>
          <w:rFonts w:ascii="宋体" w:cs="宋体" w:eastAsia="Times New Roman" w:hAnsi="宋体"/>
          <w:color w:val="000000"/>
          <w:lang w:val="id-ID"/>
        </w:rPr>
        <w:t>l</w:t>
      </w:r>
      <w:r>
        <w:rPr>
          <w:rFonts w:ascii="宋体" w:cs="宋体" w:eastAsia="Times New Roman" w:hAnsi="宋体"/>
          <w:color w:val="000000"/>
          <w:lang w:val="id-ID"/>
        </w:rPr>
        <w:t xml:space="preserve">anjutnya berdasarkan </w:t>
      </w:r>
      <w:r>
        <w:rPr>
          <w:rFonts w:ascii="宋体" w:cs="宋体" w:eastAsia="Times New Roman" w:hAnsi="宋体"/>
          <w:color w:val="000000"/>
          <w:lang w:val="id-ID"/>
        </w:rPr>
        <w:t>Munas Tarjih dan Pengembangan Pemikiran Islam XXIV di Malang</w:t>
      </w:r>
      <w:r>
        <w:rPr>
          <w:rFonts w:ascii="宋体" w:cs="宋体" w:eastAsia="Times New Roman" w:hAnsi="宋体"/>
          <w:color w:val="000000"/>
          <w:lang w:val="id-ID"/>
        </w:rPr>
        <w:t xml:space="preserve"> ditetapkan bahwa pendekatan tidak bisa jika hanya di</w:t>
      </w:r>
      <w:r>
        <w:rPr>
          <w:rFonts w:ascii="宋体" w:cs="宋体" w:eastAsia="Times New Roman" w:hAnsi="宋体"/>
          <w:color w:val="000000"/>
          <w:lang w:val="id-ID"/>
        </w:rPr>
        <w:t>l</w:t>
      </w:r>
      <w:r>
        <w:rPr>
          <w:rFonts w:ascii="宋体" w:cs="宋体" w:eastAsia="Times New Roman" w:hAnsi="宋体"/>
          <w:color w:val="000000"/>
          <w:lang w:val="id-ID"/>
        </w:rPr>
        <w:t>akukan dengan me</w:t>
      </w:r>
      <w:r>
        <w:rPr>
          <w:rFonts w:ascii="宋体" w:cs="宋体" w:eastAsia="Times New Roman" w:hAnsi="宋体"/>
          <w:color w:val="000000"/>
          <w:lang w:val="id-ID"/>
        </w:rPr>
        <w:t>l</w:t>
      </w:r>
      <w:r>
        <w:rPr>
          <w:rFonts w:ascii="宋体" w:cs="宋体" w:eastAsia="Times New Roman" w:hAnsi="宋体"/>
          <w:color w:val="000000"/>
          <w:lang w:val="id-ID"/>
        </w:rPr>
        <w:t>ihat teks normatif semata, o</w:t>
      </w:r>
      <w:r>
        <w:rPr>
          <w:rFonts w:ascii="宋体" w:cs="宋体" w:eastAsia="Times New Roman" w:hAnsi="宋体"/>
          <w:color w:val="000000"/>
          <w:lang w:val="id-ID"/>
        </w:rPr>
        <w:t>l</w:t>
      </w:r>
      <w:r>
        <w:rPr>
          <w:rFonts w:ascii="宋体" w:cs="宋体" w:eastAsia="Times New Roman" w:hAnsi="宋体"/>
          <w:color w:val="000000"/>
          <w:lang w:val="id-ID"/>
        </w:rPr>
        <w:t>eh karena itu se</w:t>
      </w:r>
      <w:r>
        <w:rPr>
          <w:rFonts w:ascii="宋体" w:cs="宋体" w:eastAsia="Times New Roman" w:hAnsi="宋体"/>
          <w:color w:val="000000"/>
          <w:lang w:val="id-ID"/>
        </w:rPr>
        <w:t>l</w:t>
      </w:r>
      <w:r>
        <w:rPr>
          <w:rFonts w:ascii="宋体" w:cs="宋体" w:eastAsia="Times New Roman" w:hAnsi="宋体"/>
          <w:color w:val="000000"/>
          <w:lang w:val="id-ID"/>
        </w:rPr>
        <w:t xml:space="preserve">ain pendekatanh </w:t>
      </w:r>
      <w:r>
        <w:rPr>
          <w:rFonts w:ascii="宋体" w:cs="宋体" w:eastAsia="Times New Roman" w:hAnsi="宋体"/>
          <w:i/>
          <w:iCs/>
          <w:color w:val="000000"/>
          <w:lang w:val="id-ID"/>
        </w:rPr>
        <w:t>bayani</w:t>
      </w:r>
      <w:r>
        <w:rPr>
          <w:rFonts w:ascii="宋体" w:cs="宋体" w:eastAsia="Times New Roman" w:hAnsi="宋体"/>
          <w:color w:val="000000"/>
          <w:lang w:val="id-ID"/>
        </w:rPr>
        <w:t>juga diper</w:t>
      </w:r>
      <w:r>
        <w:rPr>
          <w:rFonts w:ascii="宋体" w:cs="宋体" w:eastAsia="Times New Roman" w:hAnsi="宋体"/>
          <w:color w:val="000000"/>
          <w:lang w:val="id-ID"/>
        </w:rPr>
        <w:t>l</w:t>
      </w:r>
      <w:r>
        <w:rPr>
          <w:rFonts w:ascii="宋体" w:cs="宋体" w:eastAsia="Times New Roman" w:hAnsi="宋体"/>
          <w:color w:val="000000"/>
          <w:lang w:val="id-ID"/>
        </w:rPr>
        <w:t xml:space="preserve">ukan pendekatan </w:t>
      </w:r>
      <w:r>
        <w:rPr>
          <w:rFonts w:ascii="宋体" w:cs="宋体" w:eastAsia="Times New Roman" w:hAnsi="宋体"/>
          <w:i/>
          <w:iCs/>
          <w:color w:val="000000"/>
          <w:lang w:val="id-ID"/>
        </w:rPr>
        <w:t>burhani</w:t>
      </w:r>
      <w:r>
        <w:rPr>
          <w:rFonts w:ascii="宋体" w:cs="宋体" w:eastAsia="Times New Roman" w:hAnsi="宋体"/>
          <w:color w:val="000000"/>
          <w:lang w:val="id-ID"/>
        </w:rPr>
        <w:t xml:space="preserve"> dan </w:t>
      </w:r>
      <w:r>
        <w:rPr>
          <w:rFonts w:ascii="宋体" w:cs="宋体" w:eastAsia="Times New Roman" w:hAnsi="宋体"/>
          <w:i/>
          <w:iCs/>
          <w:color w:val="000000"/>
          <w:lang w:val="id-ID"/>
        </w:rPr>
        <w:t>irfani</w:t>
      </w:r>
      <w:r>
        <w:rPr>
          <w:rFonts w:ascii="宋体" w:cs="宋体" w:eastAsia="Times New Roman" w:hAnsi="宋体"/>
          <w:color w:val="000000"/>
          <w:lang w:val="id-ID"/>
        </w:rPr>
        <w:t xml:space="preserve">. </w:t>
      </w:r>
      <w:r>
        <w:rPr>
          <w:rFonts w:ascii="宋体" w:cs="宋体" w:eastAsia="Times New Roman" w:hAnsi="宋体"/>
          <w:i/>
          <w:iCs/>
          <w:color w:val="000000"/>
          <w:lang w:val="id-ID"/>
        </w:rPr>
        <w:t>Burhani</w:t>
      </w:r>
      <w:r>
        <w:rPr>
          <w:rFonts w:ascii="宋体" w:cs="宋体" w:eastAsia="Times New Roman" w:hAnsi="宋体"/>
          <w:color w:val="000000"/>
          <w:lang w:val="id-ID"/>
        </w:rPr>
        <w:t xml:space="preserve"> berasa</w:t>
      </w:r>
      <w:r>
        <w:rPr>
          <w:rFonts w:ascii="宋体" w:cs="宋体" w:eastAsia="Times New Roman" w:hAnsi="宋体"/>
          <w:color w:val="000000"/>
          <w:lang w:val="id-ID"/>
        </w:rPr>
        <w:t>l</w:t>
      </w:r>
      <w:r>
        <w:rPr>
          <w:rFonts w:ascii="宋体" w:cs="宋体" w:eastAsia="Times New Roman" w:hAnsi="宋体"/>
          <w:color w:val="000000"/>
          <w:lang w:val="id-ID"/>
        </w:rPr>
        <w:t xml:space="preserve"> dari kata </w:t>
      </w:r>
      <w:r>
        <w:rPr>
          <w:rFonts w:ascii="宋体" w:cs="宋体" w:eastAsia="Times New Roman" w:hAnsi="宋体"/>
          <w:i/>
          <w:iCs/>
          <w:color w:val="000000"/>
          <w:lang w:val="id-ID"/>
        </w:rPr>
        <w:t xml:space="preserve">burhan </w:t>
      </w:r>
      <w:r>
        <w:rPr>
          <w:rFonts w:ascii="宋体" w:cs="宋体" w:eastAsia="Times New Roman" w:hAnsi="宋体"/>
          <w:color w:val="000000"/>
          <w:lang w:val="id-ID"/>
        </w:rPr>
        <w:t>yang artinya</w:t>
      </w:r>
      <w:r>
        <w:rPr>
          <w:rFonts w:ascii="宋体" w:cs="宋体" w:eastAsia="Times New Roman" w:hAnsi="宋体"/>
          <w:color w:val="000000"/>
          <w:lang w:val="id-ID"/>
        </w:rPr>
        <w:t xml:space="preserve"> pengetahuan yang diperoleh dari indera, percobaan dan hukum-hukum logika. </w:t>
      </w:r>
      <w:r>
        <w:rPr>
          <w:rFonts w:ascii="宋体" w:cs="宋体" w:eastAsia="Times New Roman" w:hAnsi="宋体"/>
          <w:i/>
          <w:iCs/>
          <w:color w:val="000000"/>
          <w:lang w:val="id-ID"/>
        </w:rPr>
        <w:t>Burhani</w:t>
      </w:r>
      <w:r>
        <w:rPr>
          <w:rFonts w:ascii="宋体" w:cs="宋体" w:eastAsia="Times New Roman" w:hAnsi="宋体"/>
          <w:color w:val="000000"/>
          <w:lang w:val="id-ID"/>
        </w:rPr>
        <w:t xml:space="preserve">atau pendekatan rasional argumentatif adalah pendekatan yang mendasarkan diri pada kekuatan rasio melalui instrumen logika (induksi, deduksi, abduksi, simbolik, proses, dll.) dan metode diskursif (bahtsiyyah). Pendekatan ini menjadikan realitas  </w:t>
      </w:r>
      <w:r>
        <w:rPr>
          <w:rFonts w:ascii="宋体" w:cs="宋体" w:eastAsia="Times New Roman" w:hAnsi="宋体"/>
          <w:color w:val="000000"/>
          <w:lang w:val="id-ID"/>
        </w:rPr>
        <w:t>maupun teks  dan hubungan antara keduanya sebagai sumber kajian. Realitas yang dimaksud mencakup realitas alam (kawniyyah), realitas sejarah (</w:t>
      </w:r>
      <w:r>
        <w:rPr>
          <w:rFonts w:ascii="宋体" w:cs="宋体" w:eastAsia="Times New Roman" w:hAnsi="宋体"/>
          <w:color w:val="000000"/>
          <w:lang w:val="id-ID"/>
        </w:rPr>
        <w:t>tarik</w:t>
      </w:r>
      <w:r>
        <w:rPr>
          <w:rFonts w:ascii="宋体" w:cs="宋体" w:eastAsia="Times New Roman" w:hAnsi="宋体"/>
          <w:color w:val="000000"/>
          <w:lang w:val="id-ID"/>
        </w:rPr>
        <w:t>hiyyah), realitas sosial (ijtim</w:t>
      </w:r>
      <w:r>
        <w:rPr>
          <w:rFonts w:ascii="宋体" w:cs="宋体" w:eastAsia="Times New Roman" w:hAnsi="宋体"/>
          <w:color w:val="000000"/>
          <w:lang w:val="id-ID"/>
        </w:rPr>
        <w:t>a</w:t>
      </w:r>
      <w:r>
        <w:rPr>
          <w:rFonts w:ascii="宋体" w:cs="宋体" w:eastAsia="Times New Roman" w:hAnsi="宋体"/>
          <w:color w:val="000000"/>
          <w:lang w:val="id-ID"/>
        </w:rPr>
        <w:t>‘iyyah) dan realitas budaya (tsaq</w:t>
      </w:r>
      <w:r>
        <w:rPr>
          <w:rFonts w:ascii="宋体" w:cs="宋体" w:eastAsia="Times New Roman" w:hAnsi="宋体"/>
          <w:color w:val="000000"/>
          <w:lang w:val="id-ID"/>
        </w:rPr>
        <w:t>a</w:t>
      </w:r>
      <w:r>
        <w:rPr>
          <w:rFonts w:ascii="宋体" w:cs="宋体" w:eastAsia="Times New Roman" w:hAnsi="宋体"/>
          <w:color w:val="000000"/>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Pr>
          <w:rFonts w:ascii="宋体" w:cs="宋体" w:eastAsia="Times New Roman" w:hAnsi="宋体"/>
          <w:color w:val="000000"/>
          <w:lang w:val="id-ID"/>
        </w:rPr>
        <w:t xml:space="preserve"> Jadi, pendekatan </w:t>
      </w:r>
      <w:r>
        <w:rPr>
          <w:rFonts w:ascii="宋体" w:cs="宋体" w:eastAsia="Times New Roman" w:hAnsi="宋体"/>
          <w:i/>
          <w:iCs/>
          <w:color w:val="000000"/>
          <w:lang w:val="id-ID"/>
        </w:rPr>
        <w:t xml:space="preserve">burhani </w:t>
      </w:r>
      <w:r>
        <w:rPr>
          <w:rFonts w:ascii="宋体" w:cs="宋体" w:eastAsia="Times New Roman" w:hAnsi="宋体"/>
          <w:color w:val="000000"/>
          <w:lang w:val="id-ID"/>
        </w:rPr>
        <w:t>erat kaitannya dengan imu pengetahuan yang berkembang sa</w:t>
      </w:r>
      <w:r>
        <w:rPr>
          <w:rFonts w:ascii="宋体" w:cs="宋体" w:eastAsia="Times New Roman" w:hAnsi="宋体"/>
          <w:color w:val="000000"/>
          <w:lang w:val="id-ID"/>
        </w:rPr>
        <w:t>l</w:t>
      </w:r>
      <w:r>
        <w:rPr>
          <w:rFonts w:ascii="宋体" w:cs="宋体" w:eastAsia="Times New Roman" w:hAnsi="宋体"/>
          <w:color w:val="000000"/>
          <w:lang w:val="id-ID"/>
        </w:rPr>
        <w:t>ah satunya i</w:t>
      </w:r>
      <w:r>
        <w:rPr>
          <w:rFonts w:ascii="宋体" w:cs="宋体" w:eastAsia="Times New Roman" w:hAnsi="宋体"/>
          <w:color w:val="000000"/>
          <w:lang w:val="id-ID"/>
        </w:rPr>
        <w:t>l</w:t>
      </w:r>
      <w:r>
        <w:rPr>
          <w:rFonts w:ascii="宋体" w:cs="宋体" w:eastAsia="Times New Roman" w:hAnsi="宋体"/>
          <w:color w:val="000000"/>
          <w:lang w:val="id-ID"/>
        </w:rPr>
        <w:t>mu mantiq dan fi</w:t>
      </w:r>
      <w:r>
        <w:rPr>
          <w:rFonts w:ascii="宋体" w:cs="宋体" w:eastAsia="Times New Roman" w:hAnsi="宋体"/>
          <w:color w:val="000000"/>
          <w:lang w:val="id-ID"/>
        </w:rPr>
        <w:t>l</w:t>
      </w:r>
      <w:r>
        <w:rPr>
          <w:rFonts w:ascii="宋体" w:cs="宋体" w:eastAsia="Times New Roman" w:hAnsi="宋体"/>
          <w:color w:val="000000"/>
          <w:lang w:val="id-ID"/>
        </w:rPr>
        <w:t xml:space="preserve">safat.  </w:t>
      </w:r>
    </w:p>
    <w:p>
      <w:pPr>
        <w:pStyle w:val="style0"/>
        <w:spacing w:lineRule="auto" w:line="360"/>
        <w:ind w:left="284"/>
        <w:jc w:val="both"/>
        <w:rPr>
          <w:rFonts w:ascii="宋体" w:cs="宋体" w:eastAsia="Times New Roman" w:hAnsi="宋体"/>
          <w:color w:val="000000"/>
          <w:lang w:val="id-ID"/>
        </w:rPr>
      </w:pPr>
      <w:r>
        <w:rPr>
          <w:rFonts w:ascii="宋体" w:cs="宋体" w:eastAsia="Times New Roman" w:hAnsi="宋体"/>
          <w:color w:val="000000"/>
          <w:lang w:val="id-ID"/>
        </w:rPr>
        <w:t>Pada</w:t>
      </w:r>
      <w:r>
        <w:rPr>
          <w:rFonts w:ascii="宋体" w:cs="宋体" w:eastAsia="Times New Roman" w:hAnsi="宋体"/>
          <w:color w:val="000000"/>
          <w:lang w:val="id-ID"/>
        </w:rPr>
        <w:t xml:space="preserve"> perkembangan keilmuan modern, f</w:t>
      </w:r>
      <w:r>
        <w:rPr>
          <w:rFonts w:ascii="宋体" w:cs="宋体" w:eastAsia="Times New Roman" w:hAnsi="宋体"/>
          <w:color w:val="000000"/>
          <w:lang w:val="id-ID"/>
        </w:rPr>
        <w:t>i</w:t>
      </w:r>
      <w:r>
        <w:rPr>
          <w:rFonts w:ascii="宋体" w:cs="宋体" w:eastAsia="Times New Roman" w:hAnsi="宋体"/>
          <w:color w:val="000000"/>
          <w:lang w:val="id-ID"/>
        </w:rPr>
        <w:t>l</w:t>
      </w:r>
      <w:r>
        <w:rPr>
          <w:rFonts w:ascii="宋体" w:cs="宋体" w:eastAsia="Times New Roman" w:hAnsi="宋体"/>
          <w:color w:val="000000"/>
          <w:lang w:val="id-ID"/>
        </w:rPr>
        <w:t>safat</w:t>
      </w:r>
      <w:r>
        <w:rPr>
          <w:rFonts w:ascii="宋体" w:cs="宋体" w:eastAsia="Times New Roman" w:hAnsi="宋体"/>
          <w:color w:val="000000"/>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al-ijtim</w:t>
      </w:r>
      <w:r>
        <w:rPr>
          <w:rFonts w:ascii="宋体" w:cs="宋体" w:eastAsia="Times New Roman" w:hAnsi="宋体"/>
          <w:color w:val="000000"/>
          <w:lang w:val="id-ID"/>
        </w:rPr>
        <w:t>a</w:t>
      </w:r>
      <w:r>
        <w:rPr>
          <w:rFonts w:ascii="宋体" w:cs="宋体" w:eastAsia="Times New Roman" w:hAnsi="宋体"/>
          <w:color w:val="000000"/>
          <w:lang w:val="id-ID"/>
        </w:rPr>
        <w:t xml:space="preserve">‘iyyah) dan humaniora (humanities, al-‘ul­m al-insaniyyah). Dua ilmu terakhir ini mengkaji interaksi, pemikiran, kebudayaan, peradaban, nilai-nilai, kejiwaan, dan sebagainya. </w:t>
      </w:r>
    </w:p>
    <w:p>
      <w:pPr>
        <w:pStyle w:val="style0"/>
        <w:spacing w:lineRule="auto" w:line="360"/>
        <w:ind w:left="284"/>
        <w:jc w:val="both"/>
        <w:rPr>
          <w:rFonts w:ascii="宋体" w:cs="宋体" w:eastAsia="Times New Roman" w:hAnsi="宋体"/>
          <w:color w:val="000000"/>
          <w:lang w:val="id-ID"/>
        </w:rPr>
      </w:pPr>
      <w:r>
        <w:rPr>
          <w:rFonts w:ascii="宋体" w:cs="宋体" w:eastAsia="Times New Roman" w:hAnsi="宋体"/>
          <w:color w:val="000000"/>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Pr>
          <w:rFonts w:ascii="宋体" w:cs="宋体" w:eastAsia="Times New Roman" w:hAnsi="宋体"/>
          <w:color w:val="000000"/>
          <w:lang w:val="id-ID"/>
        </w:rPr>
        <w:t>a</w:t>
      </w:r>
      <w:r>
        <w:rPr>
          <w:rFonts w:ascii="宋体" w:cs="宋体" w:eastAsia="Times New Roman" w:hAnsi="宋体"/>
          <w:color w:val="000000"/>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Pr>
          <w:rFonts w:ascii="宋体" w:cs="宋体" w:eastAsia="Times New Roman" w:hAnsi="宋体"/>
          <w:color w:val="000000"/>
          <w:lang w:val="id-ID"/>
        </w:rPr>
        <w:t>a</w:t>
      </w:r>
      <w:r>
        <w:rPr>
          <w:rFonts w:ascii="宋体" w:cs="宋体" w:eastAsia="Times New Roman" w:hAnsi="宋体"/>
          <w:color w:val="000000"/>
          <w:lang w:val="id-ID"/>
        </w:rPr>
        <w:t>r</w:t>
      </w:r>
      <w:r>
        <w:rPr>
          <w:rFonts w:ascii="宋体" w:cs="宋体" w:eastAsia="Times New Roman" w:hAnsi="宋体"/>
          <w:color w:val="000000"/>
          <w:lang w:val="id-ID"/>
        </w:rPr>
        <w:t>i</w:t>
      </w:r>
      <w:r>
        <w:rPr>
          <w:rFonts w:ascii="宋体" w:cs="宋体" w:eastAsia="Times New Roman" w:hAnsi="宋体"/>
          <w:color w:val="000000"/>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pPr>
        <w:pStyle w:val="style0"/>
        <w:spacing w:lineRule="auto" w:line="360"/>
        <w:ind w:left="284"/>
        <w:jc w:val="both"/>
        <w:rPr>
          <w:rFonts w:ascii="宋体" w:cs="宋体" w:eastAsia="Times New Roman" w:hAnsi="宋体"/>
          <w:color w:val="000000"/>
          <w:lang w:val="id-ID"/>
        </w:rPr>
      </w:pPr>
      <w:r>
        <w:rPr>
          <w:rFonts w:ascii="宋体" w:cs="宋体" w:eastAsia="Times New Roman" w:hAnsi="宋体"/>
          <w:color w:val="000000"/>
          <w:lang w:val="id-ID"/>
        </w:rPr>
        <w:t xml:space="preserve">Oleh karena itu, dalam </w:t>
      </w:r>
      <w:r>
        <w:rPr>
          <w:rFonts w:ascii="宋体" w:cs="宋体" w:eastAsia="Times New Roman" w:hAnsi="宋体"/>
          <w:i/>
          <w:iCs/>
          <w:color w:val="000000"/>
          <w:lang w:val="id-ID"/>
        </w:rPr>
        <w:t>burhani</w:t>
      </w:r>
      <w:r>
        <w:rPr>
          <w:rFonts w:ascii="宋体" w:cs="宋体" w:eastAsia="Times New Roman" w:hAnsi="宋体"/>
          <w:color w:val="000000"/>
          <w:lang w:val="id-ID"/>
        </w:rPr>
        <w:t xml:space="preserve">, keempat pendekatan </w:t>
      </w:r>
      <w:r>
        <w:rPr>
          <w:rFonts w:ascii="宋体" w:cs="宋体" w:eastAsia="Times New Roman" w:hAnsi="宋体"/>
          <w:i/>
          <w:iCs/>
          <w:color w:val="000000"/>
          <w:lang w:val="id-ID"/>
        </w:rPr>
        <w:t>tarikhi</w:t>
      </w:r>
      <w:r>
        <w:rPr>
          <w:rFonts w:ascii="宋体" w:cs="宋体" w:eastAsia="Times New Roman" w:hAnsi="宋体"/>
          <w:color w:val="000000"/>
          <w:lang w:val="id-ID"/>
        </w:rPr>
        <w:t xml:space="preserve">, </w:t>
      </w:r>
      <w:r>
        <w:rPr>
          <w:rFonts w:ascii="宋体" w:cs="宋体" w:eastAsia="Times New Roman" w:hAnsi="宋体"/>
          <w:color w:val="000000"/>
          <w:lang w:val="id-ID"/>
        </w:rPr>
        <w:t>sosio</w:t>
      </w:r>
      <w:r>
        <w:rPr>
          <w:rFonts w:ascii="宋体" w:cs="宋体" w:eastAsia="Times New Roman" w:hAnsi="宋体"/>
          <w:color w:val="000000"/>
          <w:lang w:val="id-ID"/>
        </w:rPr>
        <w:t>l</w:t>
      </w:r>
      <w:r>
        <w:rPr>
          <w:rFonts w:ascii="宋体" w:cs="宋体" w:eastAsia="Times New Roman" w:hAnsi="宋体"/>
          <w:color w:val="000000"/>
          <w:lang w:val="id-ID"/>
        </w:rPr>
        <w:t>ogi</w:t>
      </w:r>
      <w:r>
        <w:rPr>
          <w:rFonts w:ascii="宋体" w:cs="宋体" w:eastAsia="Times New Roman" w:hAnsi="宋体"/>
          <w:color w:val="000000"/>
          <w:lang w:val="id-ID"/>
        </w:rPr>
        <w:t xml:space="preserve">, </w:t>
      </w:r>
      <w:r>
        <w:rPr>
          <w:rFonts w:ascii="宋体" w:cs="宋体" w:eastAsia="Times New Roman" w:hAnsi="宋体"/>
          <w:i/>
          <w:iCs/>
          <w:color w:val="000000"/>
          <w:lang w:val="id-ID"/>
        </w:rPr>
        <w:t>tsaqafi</w:t>
      </w:r>
      <w:r>
        <w:rPr>
          <w:rFonts w:ascii="宋体" w:cs="宋体" w:eastAsia="Times New Roman" w:hAnsi="宋体"/>
          <w:color w:val="000000"/>
          <w:lang w:val="id-ID"/>
        </w:rPr>
        <w:t xml:space="preserve"> dan </w:t>
      </w:r>
      <w:r>
        <w:rPr>
          <w:rFonts w:ascii="宋体" w:cs="宋体" w:eastAsia="Times New Roman" w:hAnsi="宋体"/>
          <w:color w:val="000000"/>
          <w:lang w:val="id-ID"/>
        </w:rPr>
        <w:t>antropo</w:t>
      </w:r>
      <w:r>
        <w:rPr>
          <w:rFonts w:ascii="宋体" w:cs="宋体" w:eastAsia="Times New Roman" w:hAnsi="宋体"/>
          <w:color w:val="000000"/>
          <w:lang w:val="id-ID"/>
        </w:rPr>
        <w:t>l</w:t>
      </w:r>
      <w:r>
        <w:rPr>
          <w:rFonts w:ascii="宋体" w:cs="宋体" w:eastAsia="Times New Roman" w:hAnsi="宋体"/>
          <w:color w:val="000000"/>
          <w:lang w:val="id-ID"/>
        </w:rPr>
        <w:t xml:space="preserve">ogi </w:t>
      </w:r>
      <w:r>
        <w:rPr>
          <w:rFonts w:ascii="宋体" w:cs="宋体" w:eastAsia="Times New Roman" w:hAnsi="宋体"/>
          <w:color w:val="000000"/>
          <w:lang w:val="id-ID"/>
        </w:rPr>
        <w:t xml:space="preserve">berada dalam posisi yang saling berhubungan secara dialektik dan saling melengkapi membentuk jaringan keilmuan. </w:t>
      </w:r>
    </w:p>
    <w:p>
      <w:pPr>
        <w:pStyle w:val="style0"/>
        <w:spacing w:lineRule="auto" w:line="360"/>
        <w:ind w:left="284"/>
        <w:jc w:val="both"/>
        <w:rPr>
          <w:rFonts w:ascii="宋体" w:cs="宋体" w:eastAsia="Times New Roman" w:hAnsi="宋体"/>
          <w:color w:val="000000"/>
          <w:lang w:val="id-ID"/>
        </w:rPr>
      </w:pPr>
      <w:r>
        <w:rPr>
          <w:rFonts w:ascii="宋体" w:cs="宋体" w:eastAsia="Times New Roman" w:hAnsi="宋体"/>
          <w:i/>
          <w:iCs/>
          <w:color w:val="000000"/>
          <w:lang w:val="id-ID"/>
        </w:rPr>
        <w:t>`Irfani</w:t>
      </w:r>
      <w:r>
        <w:rPr>
          <w:rFonts w:ascii="宋体" w:cs="宋体" w:eastAsia="Times New Roman" w:hAnsi="宋体"/>
          <w:color w:val="000000"/>
          <w:lang w:val="id-ID"/>
        </w:rPr>
        <w:t xml:space="preserve"> mengandung beberapa pengertian antara lain; ‘ilm atau ma‘rifah; metode  ilham dan kasyf yang telah dikenal jauh sebelum Islam. Pendekatan </w:t>
      </w:r>
      <w:r>
        <w:rPr>
          <w:rFonts w:ascii="宋体" w:cs="宋体" w:eastAsia="Times New Roman" w:hAnsi="宋体"/>
          <w:i/>
          <w:iCs/>
          <w:color w:val="000000"/>
          <w:lang w:val="id-ID"/>
        </w:rPr>
        <w:t>`irfani</w:t>
      </w:r>
      <w:r>
        <w:rPr>
          <w:rFonts w:ascii="宋体" w:cs="宋体" w:eastAsia="Times New Roman" w:hAnsi="宋体"/>
          <w:color w:val="000000"/>
          <w:lang w:val="id-ID"/>
        </w:rPr>
        <w:t xml:space="preserve"> adalah pendekatan pemahaman yang bertumpu pada instrumen pengalaman batin, dzawq, qalb, wijd</w:t>
      </w:r>
      <w:r>
        <w:rPr>
          <w:rFonts w:ascii="宋体" w:cs="宋体" w:eastAsia="Times New Roman" w:hAnsi="宋体"/>
          <w:color w:val="000000"/>
          <w:lang w:val="id-ID"/>
        </w:rPr>
        <w:t>a</w:t>
      </w:r>
      <w:r>
        <w:rPr>
          <w:rFonts w:ascii="宋体" w:cs="宋体" w:eastAsia="Times New Roman" w:hAnsi="宋体"/>
          <w:color w:val="000000"/>
          <w:lang w:val="id-ID"/>
        </w:rPr>
        <w:t>n, bash</w:t>
      </w:r>
      <w:r>
        <w:rPr>
          <w:rFonts w:ascii="宋体" w:cs="宋体" w:eastAsia="Times New Roman" w:hAnsi="宋体"/>
          <w:color w:val="000000"/>
          <w:lang w:val="id-ID"/>
        </w:rPr>
        <w:t>i</w:t>
      </w:r>
      <w:r>
        <w:rPr>
          <w:rFonts w:ascii="宋体" w:cs="宋体" w:eastAsia="Times New Roman" w:hAnsi="宋体"/>
          <w:color w:val="000000"/>
          <w:lang w:val="id-ID"/>
        </w:rPr>
        <w:t xml:space="preserve">rah dan intuisi. Contoh </w:t>
      </w:r>
      <w:r>
        <w:rPr>
          <w:rFonts w:ascii="宋体" w:cs="宋体" w:eastAsia="Times New Roman" w:hAnsi="宋体"/>
          <w:color w:val="000000"/>
          <w:lang w:val="id-ID"/>
        </w:rPr>
        <w:t xml:space="preserve">konkret dari pendekatan </w:t>
      </w:r>
      <w:r>
        <w:rPr>
          <w:rFonts w:ascii="宋体" w:cs="宋体" w:eastAsia="Times New Roman" w:hAnsi="宋体"/>
          <w:color w:val="000000"/>
          <w:lang w:val="id-ID"/>
        </w:rPr>
        <w:t>ini</w:t>
      </w:r>
      <w:r>
        <w:rPr>
          <w:rFonts w:ascii="宋体" w:cs="宋体" w:eastAsia="Times New Roman" w:hAnsi="宋体"/>
          <w:color w:val="000000"/>
          <w:lang w:val="id-ID"/>
        </w:rPr>
        <w:t xml:space="preserve"> adalah Falsafah Ishr</w:t>
      </w:r>
      <w:r>
        <w:rPr>
          <w:rFonts w:ascii="宋体" w:cs="宋体" w:eastAsia="Times New Roman" w:hAnsi="宋体"/>
          <w:color w:val="000000"/>
          <w:lang w:val="id-ID"/>
        </w:rPr>
        <w:t>aqi</w:t>
      </w:r>
      <w:r>
        <w:rPr>
          <w:rFonts w:ascii="宋体" w:cs="宋体" w:eastAsia="Times New Roman" w:hAnsi="宋体"/>
          <w:color w:val="000000"/>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宋体" w:cs="宋体" w:eastAsia="Times New Roman" w:hAnsi="宋体"/>
          <w:color w:val="000000"/>
          <w:lang w:val="id-ID"/>
        </w:rPr>
        <w:t>i</w:t>
      </w:r>
      <w:r>
        <w:rPr>
          <w:rFonts w:ascii="宋体" w:cs="宋体" w:eastAsia="Times New Roman" w:hAnsi="宋体"/>
          <w:color w:val="000000"/>
          <w:lang w:val="id-ID"/>
        </w:rPr>
        <w:t xml:space="preserve">qah.  </w:t>
      </w:r>
    </w:p>
    <w:p>
      <w:pPr>
        <w:pStyle w:val="style0"/>
        <w:spacing w:lineRule="auto" w:line="360"/>
        <w:ind w:left="284"/>
        <w:jc w:val="both"/>
        <w:rPr>
          <w:rFonts w:ascii="宋体" w:cs="宋体" w:eastAsia="Times New Roman" w:hAnsi="宋体"/>
          <w:color w:val="000000"/>
          <w:lang w:val="id-ID"/>
        </w:rPr>
      </w:pPr>
      <w:r>
        <w:rPr>
          <w:rFonts w:ascii="宋体" w:cs="宋体" w:eastAsia="Times New Roman" w:hAnsi="宋体"/>
          <w:color w:val="000000"/>
          <w:lang w:val="id-ID"/>
        </w:rPr>
        <w:t xml:space="preserve">Pengalaman batin Rasulullah saw. dalam menerima wahyu al-Quran merupakan contoh konkret dari pengetahuan </w:t>
      </w:r>
      <w:r>
        <w:rPr>
          <w:rFonts w:ascii="宋体" w:cs="宋体" w:eastAsia="Times New Roman" w:hAnsi="宋体"/>
          <w:i/>
          <w:iCs/>
          <w:color w:val="000000"/>
          <w:lang w:val="id-ID"/>
        </w:rPr>
        <w:t>`irfani</w:t>
      </w:r>
      <w:r>
        <w:rPr>
          <w:rFonts w:ascii="宋体" w:cs="宋体" w:eastAsia="Times New Roman" w:hAnsi="宋体"/>
          <w:color w:val="000000"/>
          <w:lang w:val="id-ID"/>
        </w:rPr>
        <w:t xml:space="preserve">. Namun, dengan keyakinan yang kita pegangi selama ini, mungkin pengetahuan </w:t>
      </w:r>
      <w:r>
        <w:rPr>
          <w:rFonts w:ascii="宋体" w:cs="宋体" w:eastAsia="Times New Roman" w:hAnsi="宋体"/>
          <w:i/>
          <w:iCs/>
          <w:color w:val="000000"/>
          <w:lang w:val="id-ID"/>
        </w:rPr>
        <w:t>`irfani</w:t>
      </w:r>
      <w:r>
        <w:rPr>
          <w:rFonts w:ascii="宋体" w:cs="宋体" w:eastAsia="Times New Roman" w:hAnsi="宋体"/>
          <w:color w:val="000000"/>
          <w:lang w:val="id-ID"/>
        </w:rPr>
        <w:t xml:space="preserve"> yang akan dikembangkan dalam kerangka ittib</w:t>
      </w:r>
      <w:r>
        <w:rPr>
          <w:rFonts w:ascii="宋体" w:cs="宋体" w:eastAsia="Times New Roman" w:hAnsi="宋体"/>
          <w:color w:val="000000"/>
          <w:lang w:val="id-ID"/>
        </w:rPr>
        <w:t>a</w:t>
      </w:r>
      <w:r>
        <w:rPr>
          <w:rFonts w:ascii="宋体" w:cs="宋体" w:eastAsia="Times New Roman" w:hAnsi="宋体"/>
          <w:color w:val="000000"/>
          <w:lang w:val="id-ID"/>
        </w:rPr>
        <w:t xml:space="preserve">‘ al-rasul. Dapat dikatakan, meski pengetahuan </w:t>
      </w:r>
      <w:r>
        <w:rPr>
          <w:rFonts w:ascii="宋体" w:cs="宋体" w:eastAsia="Times New Roman" w:hAnsi="宋体"/>
          <w:i/>
          <w:iCs/>
          <w:color w:val="000000"/>
          <w:lang w:val="id-ID"/>
        </w:rPr>
        <w:t>`irfani</w:t>
      </w:r>
      <w:r>
        <w:rPr>
          <w:rFonts w:ascii="宋体" w:cs="宋体" w:eastAsia="Times New Roman" w:hAnsi="宋体"/>
          <w:color w:val="000000"/>
          <w:lang w:val="id-ID"/>
        </w:rPr>
        <w:t>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pencerahan dan terakhir tahap konstruksi. Tahap terakhir ini merupakan upaya pemaparan secara simbolik dimana perlu, dalam bentuk uraian, tulisan dan struktur yang dibangun, sehingga kebenaran yang diperolehnya dapat diakses oleh orang lain.</w:t>
      </w:r>
    </w:p>
    <w:p>
      <w:pPr>
        <w:pStyle w:val="style0"/>
        <w:spacing w:lineRule="auto" w:line="360"/>
        <w:ind w:left="284"/>
        <w:jc w:val="both"/>
        <w:rPr>
          <w:rFonts w:ascii="宋体" w:cs="宋体" w:eastAsia="Times New Roman" w:hAnsi="宋体"/>
          <w:color w:val="000000"/>
        </w:rPr>
      </w:pPr>
      <w:r>
        <w:rPr>
          <w:rFonts w:ascii="宋体" w:cs="宋体" w:eastAsia="Times New Roman" w:hAnsi="宋体"/>
          <w:color w:val="000000"/>
          <w:lang w:val="id-ID"/>
        </w:rPr>
        <w:t xml:space="preserve">Implikasi dari pengetahuan </w:t>
      </w:r>
      <w:r>
        <w:rPr>
          <w:rFonts w:ascii="宋体" w:cs="宋体" w:eastAsia="Times New Roman" w:hAnsi="宋体"/>
          <w:i/>
          <w:iCs/>
          <w:color w:val="000000"/>
          <w:lang w:val="id-ID"/>
        </w:rPr>
        <w:t>`irfani</w:t>
      </w:r>
      <w:r>
        <w:rPr>
          <w:rFonts w:ascii="宋体" w:cs="宋体" w:eastAsia="Times New Roman" w:hAnsi="宋体"/>
          <w:color w:val="000000"/>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Pr>
          <w:rFonts w:ascii="宋体" w:cs="宋体" w:eastAsia="Times New Roman" w:hAnsi="宋体"/>
          <w:i/>
          <w:iCs/>
          <w:color w:val="000000"/>
          <w:lang w:val="id-ID"/>
        </w:rPr>
        <w:t>fithrah il</w:t>
      </w:r>
      <w:r>
        <w:rPr>
          <w:rFonts w:ascii="宋体" w:cs="宋体" w:eastAsia="Times New Roman" w:hAnsi="宋体"/>
          <w:i/>
          <w:iCs/>
          <w:color w:val="000000"/>
          <w:lang w:val="id-ID"/>
        </w:rPr>
        <w:t>ahiyyah</w:t>
      </w:r>
      <w:r>
        <w:rPr>
          <w:rFonts w:ascii="宋体" w:cs="宋体" w:eastAsia="Times New Roman" w:hAnsi="宋体"/>
          <w:color w:val="000000"/>
          <w:lang w:val="id-ID"/>
        </w:rPr>
        <w:t xml:space="preserve">.  </w:t>
      </w:r>
    </w:p>
    <w:p>
      <w:pPr>
        <w:pStyle w:val="style0"/>
        <w:spacing w:lineRule="auto" w:line="360"/>
        <w:ind w:left="284"/>
        <w:jc w:val="both"/>
        <w:rPr>
          <w:rFonts w:ascii="宋体" w:cs="宋体" w:hAnsi="宋体"/>
          <w:color w:val="000000"/>
          <w:lang w:val="id-ID"/>
        </w:rPr>
      </w:pPr>
    </w:p>
    <w:p>
      <w:pPr>
        <w:pStyle w:val="style0"/>
        <w:spacing w:lineRule="auto" w:line="360"/>
        <w:jc w:val="both"/>
        <w:rPr>
          <w:rFonts w:ascii="宋体" w:cs="宋体" w:hAnsi="宋体"/>
          <w:color w:val="000000"/>
        </w:rPr>
      </w:pPr>
      <w:r>
        <w:rPr>
          <w:rStyle w:val="style87"/>
          <w:rFonts w:ascii="宋体" w:cs="宋体" w:hAnsi="宋体"/>
          <w:color w:val="000000"/>
        </w:rPr>
        <w:t>D. Kesimpulan</w:t>
      </w:r>
    </w:p>
    <w:p>
      <w:pPr>
        <w:pStyle w:val="style94"/>
        <w:spacing w:before="0" w:beforeAutospacing="false" w:after="0" w:afterAutospacing="false" w:lineRule="auto" w:line="360"/>
        <w:jc w:val="both"/>
        <w:rPr>
          <w:rFonts w:ascii="宋体" w:cs="宋体" w:hAnsi="宋体"/>
          <w:color w:val="000000"/>
        </w:rPr>
      </w:pPr>
      <w:r>
        <w:rPr>
          <w:rFonts w:ascii="宋体" w:cs="宋体" w:hAnsi="宋体"/>
          <w:color w:val="000000"/>
        </w:rPr>
        <w:t>Dari Penjelasan di atas dapat disimpulkan sebagai berikut:</w:t>
      </w:r>
    </w:p>
    <w:p>
      <w:pPr>
        <w:pStyle w:val="style0"/>
        <w:numPr>
          <w:ilvl w:val="0"/>
          <w:numId w:val="15"/>
        </w:numPr>
        <w:tabs>
          <w:tab w:val="clear" w:pos="720"/>
        </w:tabs>
        <w:spacing w:lineRule="auto" w:line="360"/>
        <w:ind w:left="426" w:hanging="284"/>
        <w:jc w:val="both"/>
        <w:rPr>
          <w:rFonts w:ascii="宋体" w:cs="宋体" w:hAnsi="宋体"/>
          <w:color w:val="000000"/>
        </w:rPr>
      </w:pPr>
      <w:r>
        <w:rPr>
          <w:rFonts w:ascii="宋体" w:cs="宋体" w:hAnsi="宋体"/>
          <w:color w:val="000000"/>
        </w:rPr>
        <w:t>Sumber otentik untuk mempelajari Islam adalah Alquran dan Sunnah Maqbulah.</w:t>
      </w:r>
    </w:p>
    <w:p>
      <w:pPr>
        <w:pStyle w:val="style0"/>
        <w:numPr>
          <w:ilvl w:val="0"/>
          <w:numId w:val="15"/>
        </w:numPr>
        <w:tabs>
          <w:tab w:val="clear" w:pos="720"/>
        </w:tabs>
        <w:spacing w:lineRule="auto" w:line="360"/>
        <w:ind w:left="426" w:hanging="284"/>
        <w:jc w:val="both"/>
        <w:rPr>
          <w:rStyle w:val="style88"/>
          <w:rFonts w:ascii="宋体" w:cs="宋体" w:hAnsi="宋体"/>
          <w:i w:val="false"/>
          <w:iCs w:val="false"/>
          <w:color w:val="000000"/>
        </w:rPr>
      </w:pPr>
      <w:r>
        <w:rPr>
          <w:rFonts w:ascii="宋体" w:cs="宋体" w:hAnsi="宋体"/>
          <w:color w:val="000000"/>
        </w:rPr>
        <w:t>Muhammdiyah bergerak dalam berbagai bidang kehidupan manusia yang antara lain dapat diklasisfikasikan sebagai berikut: 1) </w:t>
      </w:r>
      <w:r>
        <w:rPr>
          <w:rStyle w:val="style88"/>
          <w:rFonts w:ascii="宋体" w:cs="宋体" w:hAnsi="宋体"/>
          <w:color w:val="000000"/>
        </w:rPr>
        <w:t>‘aqidah, </w:t>
      </w:r>
      <w:r>
        <w:rPr>
          <w:rFonts w:ascii="宋体" w:cs="宋体" w:hAnsi="宋体"/>
          <w:color w:val="000000"/>
        </w:rPr>
        <w:t>2) hukum, 3) akhlak, dan 4) </w:t>
      </w:r>
      <w:r>
        <w:rPr>
          <w:rStyle w:val="style88"/>
          <w:rFonts w:ascii="宋体" w:cs="宋体" w:hAnsi="宋体"/>
          <w:color w:val="000000"/>
        </w:rPr>
        <w:t>Mu’amalah dunyawiyah.</w:t>
      </w:r>
    </w:p>
    <w:p>
      <w:pPr>
        <w:pStyle w:val="style0"/>
        <w:numPr>
          <w:ilvl w:val="0"/>
          <w:numId w:val="15"/>
        </w:numPr>
        <w:tabs>
          <w:tab w:val="clear" w:pos="720"/>
        </w:tabs>
        <w:spacing w:lineRule="auto" w:line="360"/>
        <w:ind w:left="426" w:hanging="284"/>
        <w:jc w:val="both"/>
        <w:rPr>
          <w:rFonts w:ascii="宋体" w:cs="宋体" w:hAnsi="宋体"/>
          <w:color w:val="000000"/>
        </w:rPr>
      </w:pPr>
      <w:r>
        <w:rPr>
          <w:rFonts w:ascii="宋体" w:cs="宋体" w:hAnsi="宋体"/>
          <w:color w:val="000000"/>
        </w:rPr>
        <w:t>Dalam menjalankan perannya dalam berbagai bidang tersebut maka Muhammadiyah melakukan </w:t>
      </w:r>
      <w:r>
        <w:rPr>
          <w:rStyle w:val="style88"/>
          <w:rFonts w:ascii="宋体" w:cs="宋体" w:eastAsia="宋体" w:hAnsi="宋体"/>
          <w:color w:val="000000"/>
        </w:rPr>
        <w:t>ijtihad</w:t>
      </w:r>
      <w:r>
        <w:rPr>
          <w:rFonts w:ascii="宋体" w:cs="宋体" w:hAnsi="宋体"/>
          <w:color w:val="000000"/>
        </w:rPr>
        <w:t> dengan berbagai metodenya antara lain: 1) </w:t>
      </w:r>
      <w:r>
        <w:rPr>
          <w:rStyle w:val="style88"/>
          <w:rFonts w:ascii="宋体" w:cs="宋体" w:eastAsia="宋体" w:hAnsi="宋体"/>
          <w:color w:val="000000"/>
        </w:rPr>
        <w:t>Ijtihad bayani, </w:t>
      </w:r>
      <w:r>
        <w:rPr>
          <w:rFonts w:ascii="宋体" w:cs="宋体" w:hAnsi="宋体"/>
          <w:color w:val="000000"/>
        </w:rPr>
        <w:t>2)  </w:t>
      </w:r>
      <w:r>
        <w:rPr>
          <w:rStyle w:val="style88"/>
          <w:rFonts w:ascii="宋体" w:cs="宋体" w:eastAsia="宋体" w:hAnsi="宋体"/>
          <w:color w:val="000000"/>
        </w:rPr>
        <w:t>Ijma’, </w:t>
      </w:r>
      <w:r>
        <w:rPr>
          <w:rFonts w:ascii="宋体" w:cs="宋体" w:hAnsi="宋体"/>
          <w:color w:val="000000"/>
        </w:rPr>
        <w:t>3)</w:t>
      </w:r>
      <w:r>
        <w:rPr>
          <w:rStyle w:val="style88"/>
          <w:rFonts w:ascii="宋体" w:cs="宋体" w:eastAsia="宋体" w:hAnsi="宋体"/>
          <w:color w:val="000000"/>
        </w:rPr>
        <w:t> Ijtihad Qiyasi, </w:t>
      </w:r>
      <w:r>
        <w:rPr>
          <w:rFonts w:ascii="宋体" w:cs="宋体" w:hAnsi="宋体"/>
          <w:color w:val="000000"/>
        </w:rPr>
        <w:t>4)</w:t>
      </w:r>
      <w:r>
        <w:rPr>
          <w:rStyle w:val="style88"/>
          <w:rFonts w:ascii="宋体" w:cs="宋体" w:eastAsia="宋体" w:hAnsi="宋体"/>
          <w:color w:val="000000"/>
        </w:rPr>
        <w:t> Ijtihad Ishtishlahiy, </w:t>
      </w:r>
      <w:r>
        <w:rPr>
          <w:rFonts w:ascii="宋体" w:cs="宋体" w:hAnsi="宋体"/>
          <w:color w:val="000000"/>
        </w:rPr>
        <w:t>5) </w:t>
      </w:r>
      <w:r>
        <w:rPr>
          <w:rStyle w:val="style88"/>
          <w:rFonts w:ascii="宋体" w:cs="宋体" w:eastAsia="宋体" w:hAnsi="宋体"/>
          <w:color w:val="000000"/>
        </w:rPr>
        <w:t>Istihsan</w:t>
      </w:r>
      <w:r>
        <w:rPr>
          <w:rStyle w:val="style88"/>
          <w:rFonts w:ascii="宋体" w:cs="宋体" w:eastAsia="宋体" w:hAnsi="宋体"/>
          <w:i w:val="false"/>
          <w:iCs w:val="false"/>
          <w:color w:val="000000"/>
          <w:lang w:val="id-ID"/>
        </w:rPr>
        <w:t xml:space="preserve">, 6) Pendekatan </w:t>
      </w:r>
      <w:r>
        <w:rPr>
          <w:rStyle w:val="style88"/>
          <w:rFonts w:ascii="宋体" w:cs="宋体" w:eastAsia="宋体" w:hAnsi="宋体"/>
          <w:color w:val="000000"/>
          <w:lang w:val="id-ID"/>
        </w:rPr>
        <w:t>burhani</w:t>
      </w:r>
      <w:r>
        <w:rPr>
          <w:rStyle w:val="style88"/>
          <w:rFonts w:ascii="宋体" w:cs="宋体" w:eastAsia="宋体" w:hAnsi="宋体"/>
          <w:i w:val="false"/>
          <w:iCs w:val="false"/>
          <w:color w:val="000000"/>
          <w:lang w:val="id-ID"/>
        </w:rPr>
        <w:t xml:space="preserve">, 7) Pendekatan </w:t>
      </w:r>
      <w:r>
        <w:rPr>
          <w:rStyle w:val="style88"/>
          <w:rFonts w:ascii="宋体" w:cs="宋体" w:eastAsia="宋体" w:hAnsi="宋体"/>
          <w:color w:val="000000"/>
          <w:lang w:val="id-ID"/>
        </w:rPr>
        <w:t>`Irfani</w:t>
      </w:r>
    </w:p>
    <w:bookmarkStart w:id="0" w:name="_GoBack"/>
    <w:bookmarkEnd w:id="0"/>
    <w:p>
      <w:pPr>
        <w:pStyle w:val="style0"/>
        <w:spacing w:lineRule="auto" w:line="360"/>
        <w:jc w:val="both"/>
        <w:rPr>
          <w:rFonts w:ascii="宋体" w:cs="宋体" w:hAnsi="宋体"/>
          <w:color w:val="000000"/>
        </w:rPr>
      </w:pPr>
    </w:p>
    <w:p>
      <w:pPr>
        <w:pStyle w:val="style0"/>
        <w:pBdr>
          <w:left w:val="single" w:sz="4" w:space="4" w:color="auto"/>
          <w:right w:val="single" w:sz="4" w:space="4" w:color="auto"/>
          <w:top w:val="single" w:sz="4" w:space="1" w:color="auto"/>
          <w:bottom w:val="single" w:sz="4" w:space="1" w:color="auto"/>
        </w:pBdr>
        <w:spacing w:lineRule="auto" w:line="360"/>
        <w:jc w:val="both"/>
        <w:rPr>
          <w:rFonts w:ascii="宋体" w:cs="宋体" w:hAnsi="宋体"/>
          <w:color w:val="000000"/>
        </w:rPr>
      </w:pPr>
      <w:r>
        <w:rPr>
          <w:rFonts w:ascii="宋体" w:cs="宋体" w:hAnsi="宋体"/>
          <w:color w:val="000000"/>
        </w:rPr>
        <w:t>Identitas:</w:t>
      </w:r>
    </w:p>
    <w:p>
      <w:pPr>
        <w:pStyle w:val="style0"/>
        <w:spacing w:lineRule="auto" w:line="360"/>
        <w:jc w:val="both"/>
        <w:rPr>
          <w:rFonts w:ascii="宋体" w:cs="宋体" w:hAnsi="宋体"/>
          <w:color w:val="000000"/>
        </w:rPr>
      </w:pPr>
      <w:r>
        <w:rPr>
          <w:rFonts w:ascii="宋体" w:cs="宋体" w:hAnsi="宋体"/>
          <w:color w:val="000000"/>
        </w:rPr>
        <w:t xml:space="preserve">Nama : </w:t>
      </w:r>
      <w:r>
        <w:rPr>
          <w:rFonts w:ascii="宋体" w:cs="宋体" w:hAnsi="宋体"/>
          <w:color w:val="000000"/>
          <w:lang w:val="en-US"/>
        </w:rPr>
        <w:t>Agustina</w:t>
      </w:r>
    </w:p>
    <w:p>
      <w:pPr>
        <w:pStyle w:val="style0"/>
        <w:spacing w:lineRule="auto" w:line="360"/>
        <w:jc w:val="both"/>
        <w:rPr>
          <w:rFonts w:ascii="宋体" w:cs="宋体" w:hAnsi="宋体"/>
          <w:color w:val="000000"/>
        </w:rPr>
      </w:pPr>
      <w:r>
        <w:rPr>
          <w:rFonts w:ascii="宋体" w:cs="宋体" w:hAnsi="宋体"/>
          <w:color w:val="000000"/>
        </w:rPr>
        <w:t>Angkatan :</w:t>
      </w:r>
      <w:r>
        <w:rPr>
          <w:rFonts w:ascii="宋体" w:cs="宋体" w:hAnsi="宋体"/>
          <w:color w:val="000000"/>
          <w:lang w:val="en-US"/>
        </w:rPr>
        <w:t xml:space="preserve"> 2016</w:t>
      </w:r>
    </w:p>
    <w:p>
      <w:pPr>
        <w:pStyle w:val="style0"/>
        <w:spacing w:lineRule="auto" w:line="360"/>
        <w:jc w:val="both"/>
        <w:rPr>
          <w:rFonts w:ascii="宋体" w:cs="宋体" w:hAnsi="宋体"/>
          <w:color w:val="000000"/>
        </w:rPr>
      </w:pPr>
      <w:r>
        <w:rPr>
          <w:rFonts w:ascii="宋体" w:cs="宋体" w:hAnsi="宋体"/>
          <w:color w:val="000000"/>
        </w:rPr>
        <w:t xml:space="preserve">Fak/ </w:t>
      </w:r>
      <w:r>
        <w:rPr>
          <w:rFonts w:ascii="宋体" w:cs="宋体" w:hAnsi="宋体"/>
          <w:color w:val="000000"/>
        </w:rPr>
        <w:t>Prodi :</w:t>
      </w:r>
      <w:r>
        <w:rPr>
          <w:rFonts w:ascii="宋体" w:cs="宋体" w:hAnsi="宋体"/>
          <w:color w:val="000000"/>
          <w:lang w:val="en-US"/>
        </w:rPr>
        <w:t xml:space="preserve"> Kebidanan Sarjana Terapan</w:t>
      </w:r>
    </w:p>
    <w:p>
      <w:pPr>
        <w:pStyle w:val="style0"/>
        <w:spacing w:lineRule="auto" w:line="360"/>
        <w:jc w:val="both"/>
        <w:rPr>
          <w:rFonts w:ascii="宋体" w:cs="宋体" w:hAnsi="宋体"/>
          <w:color w:val="000000"/>
        </w:rPr>
      </w:pPr>
    </w:p>
    <w:p>
      <w:pPr>
        <w:pStyle w:val="style0"/>
        <w:spacing w:lineRule="auto" w:line="360"/>
        <w:jc w:val="both"/>
        <w:rPr>
          <w:rFonts w:ascii="宋体" w:cs="宋体" w:hAnsi="宋体"/>
          <w:color w:val="000000"/>
        </w:rPr>
      </w:pPr>
      <w:r>
        <w:rPr>
          <w:rFonts w:ascii="宋体" w:cs="宋体" w:hAnsi="宋体"/>
          <w:color w:val="000000"/>
        </w:rPr>
        <w:t>QUIZ:</w:t>
      </w:r>
    </w:p>
    <w:p>
      <w:pPr>
        <w:pStyle w:val="style0"/>
        <w:pBdr>
          <w:left w:val="single" w:sz="4" w:space="4" w:color="auto"/>
          <w:right w:val="single" w:sz="4" w:space="4" w:color="auto"/>
          <w:top w:val="single" w:sz="4" w:space="1" w:color="auto"/>
          <w:bottom w:val="single" w:sz="4" w:space="1" w:color="auto"/>
        </w:pBdr>
        <w:spacing w:lineRule="auto" w:line="360"/>
        <w:jc w:val="both"/>
        <w:rPr>
          <w:rFonts w:ascii="宋体" w:cs="宋体" w:hAnsi="宋体"/>
          <w:color w:val="000000"/>
        </w:rPr>
      </w:pPr>
      <w:r>
        <w:rPr>
          <w:rFonts w:ascii="宋体" w:cs="宋体" w:hAnsi="宋体"/>
          <w:color w:val="000000"/>
        </w:rPr>
        <w:t xml:space="preserve"> Jawablah pertanyaan di bawah ini dengan dengan singkat dan tepat!</w:t>
      </w:r>
    </w:p>
    <w:p>
      <w:pPr>
        <w:pStyle w:val="style179"/>
        <w:numPr>
          <w:ilvl w:val="0"/>
          <w:numId w:val="11"/>
        </w:numPr>
        <w:spacing w:lineRule="auto" w:line="360"/>
        <w:ind w:left="0" w:firstLine="0"/>
        <w:jc w:val="both"/>
        <w:rPr>
          <w:rFonts w:ascii="宋体" w:cs="宋体" w:hAnsi="宋体"/>
          <w:color w:val="000000"/>
        </w:rPr>
      </w:pPr>
      <w:r>
        <w:rPr>
          <w:rFonts w:ascii="宋体" w:cs="宋体" w:hAnsi="宋体"/>
          <w:color w:val="000000"/>
        </w:rPr>
        <w:t xml:space="preserve">Bagaimana </w:t>
      </w:r>
      <w:r>
        <w:rPr>
          <w:rFonts w:ascii="宋体" w:cs="宋体" w:hAnsi="宋体"/>
          <w:color w:val="000000"/>
        </w:rPr>
        <w:t>paham</w:t>
      </w:r>
      <w:r>
        <w:rPr>
          <w:rFonts w:ascii="宋体" w:cs="宋体" w:hAnsi="宋体"/>
          <w:color w:val="000000"/>
        </w:rPr>
        <w:t xml:space="preserve"> agama dalam Muhammadiyah yang anda ketahui?</w:t>
      </w:r>
    </w:p>
    <w:p>
      <w:pPr>
        <w:pStyle w:val="style179"/>
        <w:numPr>
          <w:ilvl w:val="0"/>
          <w:numId w:val="0"/>
        </w:numPr>
        <w:spacing w:lineRule="auto" w:line="360"/>
        <w:ind w:left="0" w:firstLine="0"/>
        <w:jc w:val="both"/>
        <w:rPr>
          <w:rFonts w:ascii="宋体" w:cs="宋体" w:hAnsi="宋体"/>
          <w:color w:val="000000"/>
        </w:rPr>
      </w:pPr>
      <w:r>
        <w:rPr>
          <w:rFonts w:ascii="宋体" w:cs="宋体" w:hAnsi="宋体"/>
          <w:color w:val="000000"/>
          <w:lang w:val="en-US"/>
        </w:rPr>
        <w:t>Jawab : Paham muhammadiyah dirujuk pada alquran dan hadits, karena itu sumber dasar agama islam. Namun selain itu muhammadiyah juga mempunyai majlis tarjih dan tajdid yang melakukan pengkajian, penafsiran dan penerapan ajaran islam dengan menggunakan metode tertentu yang tertuang dalam manhaj tarjih.</w:t>
      </w:r>
    </w:p>
    <w:p>
      <w:pPr>
        <w:pStyle w:val="style179"/>
        <w:numPr>
          <w:ilvl w:val="0"/>
          <w:numId w:val="11"/>
        </w:numPr>
        <w:spacing w:lineRule="auto" w:line="360"/>
        <w:ind w:left="0" w:firstLine="0"/>
        <w:jc w:val="both"/>
        <w:rPr>
          <w:rFonts w:ascii="宋体" w:cs="宋体" w:hAnsi="宋体"/>
          <w:color w:val="000000"/>
        </w:rPr>
      </w:pPr>
      <w:r>
        <w:rPr>
          <w:rFonts w:ascii="宋体" w:cs="宋体" w:hAnsi="宋体"/>
          <w:color w:val="000000"/>
        </w:rPr>
        <w:t>Apa</w:t>
      </w:r>
      <w:r>
        <w:rPr>
          <w:rFonts w:ascii="宋体" w:cs="宋体" w:hAnsi="宋体"/>
          <w:color w:val="000000"/>
        </w:rPr>
        <w:t xml:space="preserve"> sumber Ajaran Islam yang diikuti oleh Muhammadiyah?</w:t>
      </w:r>
    </w:p>
    <w:p>
      <w:pPr>
        <w:pStyle w:val="style179"/>
        <w:numPr>
          <w:ilvl w:val="0"/>
          <w:numId w:val="0"/>
        </w:numPr>
        <w:spacing w:lineRule="auto" w:line="360"/>
        <w:ind w:left="0" w:firstLine="0"/>
        <w:jc w:val="both"/>
        <w:rPr>
          <w:rFonts w:ascii="宋体" w:cs="宋体" w:hAnsi="宋体"/>
          <w:color w:val="000000"/>
        </w:rPr>
      </w:pPr>
      <w:r>
        <w:rPr>
          <w:rFonts w:ascii="宋体" w:cs="宋体" w:hAnsi="宋体"/>
          <w:color w:val="000000"/>
          <w:lang w:val="en-US"/>
        </w:rPr>
        <w:t xml:space="preserve">jawaban : Al-Quran dan sunnah </w:t>
      </w:r>
    </w:p>
    <w:p>
      <w:pPr>
        <w:pStyle w:val="style179"/>
        <w:numPr>
          <w:ilvl w:val="0"/>
          <w:numId w:val="11"/>
        </w:numPr>
        <w:spacing w:lineRule="auto" w:line="360"/>
        <w:ind w:left="0" w:firstLine="0"/>
        <w:jc w:val="both"/>
        <w:rPr>
          <w:rFonts w:ascii="宋体" w:cs="宋体" w:hAnsi="宋体"/>
          <w:color w:val="000000"/>
        </w:rPr>
      </w:pPr>
      <w:r>
        <w:rPr>
          <w:rFonts w:ascii="宋体" w:cs="宋体" w:hAnsi="宋体"/>
          <w:color w:val="000000"/>
        </w:rPr>
        <w:t xml:space="preserve">Mengapa </w:t>
      </w:r>
      <w:r>
        <w:rPr>
          <w:rFonts w:ascii="宋体" w:cs="宋体" w:hAnsi="宋体"/>
          <w:color w:val="000000"/>
        </w:rPr>
        <w:t>Muhammadiyah  memandang</w:t>
      </w:r>
      <w:r>
        <w:rPr>
          <w:rFonts w:ascii="宋体" w:cs="宋体" w:hAnsi="宋体"/>
          <w:color w:val="000000"/>
        </w:rPr>
        <w:t xml:space="preserve"> pintu ijtihad tetap terbuka?</w:t>
      </w:r>
    </w:p>
    <w:p>
      <w:pPr>
        <w:pStyle w:val="style179"/>
        <w:numPr>
          <w:ilvl w:val="0"/>
          <w:numId w:val="0"/>
        </w:numPr>
        <w:spacing w:lineRule="auto" w:line="360"/>
        <w:ind w:left="0" w:firstLine="0"/>
        <w:jc w:val="both"/>
        <w:rPr>
          <w:rFonts w:ascii="宋体" w:cs="宋体" w:hAnsi="宋体"/>
          <w:color w:val="000000"/>
        </w:rPr>
      </w:pPr>
      <w:r>
        <w:rPr>
          <w:rFonts w:ascii="宋体" w:cs="宋体" w:hAnsi="宋体"/>
          <w:color w:val="000000"/>
          <w:lang w:val="en-US"/>
        </w:rPr>
        <w:t xml:space="preserve">jawaban : </w:t>
      </w:r>
      <w:r>
        <w:rPr>
          <w:rFonts w:cs="宋体" w:hAnsi="宋体"/>
          <w:color w:val="000000"/>
          <w:lang w:val="en-US"/>
        </w:rPr>
        <w:t>Proses ijtihad akan terus berlangsung dan tidak ada yang berhak menutup atau menyatakan membuka pintu ijtihad. Karena memang pintu ijtihad tidak pernah ditutup dan tertutup. Pemikiran yang berkaitan dengan ijtihad ini hidup dalam Muhammadiyah. Identitas Muhammadiyah dinyatakan dalam Anggaran Dasar Muhammadiyah pasal 4 ayat 1 bahwa Muhammadiyah adalah Gerakan Islam, Da’wah Amar Ma’ruf Nahi Munkar dan Tajdid, bersumberkan pada Al-Qur`an dan As-Sunnah. Oleh sebab itu, Muhammadiyah senantiasa mengembangkan kehidupan dan tradisi ijtihad dalam nafas gerakannya.</w:t>
      </w:r>
    </w:p>
    <w:p>
      <w:pPr>
        <w:pStyle w:val="style179"/>
        <w:numPr>
          <w:ilvl w:val="0"/>
          <w:numId w:val="11"/>
        </w:numPr>
        <w:spacing w:lineRule="auto" w:line="360"/>
        <w:ind w:left="0" w:firstLine="0"/>
        <w:jc w:val="both"/>
        <w:rPr>
          <w:rFonts w:ascii="宋体" w:cs="宋体" w:hAnsi="宋体"/>
          <w:color w:val="000000"/>
        </w:rPr>
      </w:pPr>
      <w:r>
        <w:rPr>
          <w:rFonts w:ascii="宋体" w:cs="宋体" w:hAnsi="宋体"/>
          <w:color w:val="000000"/>
        </w:rPr>
        <w:t>Apa</w:t>
      </w:r>
      <w:r>
        <w:rPr>
          <w:rFonts w:ascii="宋体" w:cs="宋体" w:hAnsi="宋体"/>
          <w:color w:val="000000"/>
        </w:rPr>
        <w:t xml:space="preserve"> saja bidang kajian Islam yang diurusi Muhammadiyah?</w:t>
      </w:r>
    </w:p>
    <w:p>
      <w:pPr>
        <w:pStyle w:val="style179"/>
        <w:numPr>
          <w:ilvl w:val="0"/>
          <w:numId w:val="0"/>
        </w:numPr>
        <w:spacing w:lineRule="auto" w:line="360"/>
        <w:ind w:left="0" w:firstLine="0"/>
        <w:jc w:val="both"/>
        <w:rPr>
          <w:rFonts w:ascii="宋体" w:cs="宋体" w:hAnsi="宋体"/>
          <w:color w:val="000000"/>
        </w:rPr>
      </w:pPr>
      <w:r>
        <w:rPr>
          <w:rFonts w:ascii="宋体" w:cs="宋体" w:hAnsi="宋体"/>
          <w:color w:val="000000"/>
          <w:lang w:val="en-US"/>
        </w:rPr>
        <w:t>jawaban : tabling, tarjih dan tajdid, pendidikan dan kesehatan</w:t>
      </w:r>
    </w:p>
    <w:p>
      <w:pPr>
        <w:pStyle w:val="style179"/>
        <w:numPr>
          <w:ilvl w:val="0"/>
          <w:numId w:val="11"/>
        </w:numPr>
        <w:spacing w:lineRule="auto" w:line="360"/>
        <w:ind w:left="0" w:firstLine="0"/>
        <w:jc w:val="both"/>
        <w:rPr>
          <w:rFonts w:ascii="宋体" w:cs="宋体" w:hAnsi="宋体"/>
          <w:color w:val="000000"/>
        </w:rPr>
      </w:pPr>
      <w:r>
        <w:rPr>
          <w:rFonts w:ascii="宋体" w:cs="宋体" w:hAnsi="宋体"/>
          <w:color w:val="000000"/>
        </w:rPr>
        <w:t>Apa saja Jalan Ijtihad yang ditempuh Majlis Tarjih</w:t>
      </w:r>
      <w:r>
        <w:rPr>
          <w:rFonts w:ascii="宋体" w:cs="宋体" w:hAnsi="宋体"/>
          <w:color w:val="000000"/>
        </w:rPr>
        <w:t xml:space="preserve"> Muhammadiyah dalam memecahkan masalah</w:t>
      </w:r>
      <w:r>
        <w:rPr>
          <w:rFonts w:ascii="宋体" w:cs="宋体" w:hAnsi="宋体"/>
          <w:color w:val="000000"/>
        </w:rPr>
        <w:t>?.</w:t>
      </w:r>
    </w:p>
    <w:p>
      <w:pPr>
        <w:pStyle w:val="style179"/>
        <w:numPr>
          <w:ilvl w:val="0"/>
          <w:numId w:val="0"/>
        </w:numPr>
        <w:spacing w:lineRule="auto" w:line="360"/>
        <w:ind w:left="0" w:firstLine="0"/>
        <w:jc w:val="both"/>
        <w:rPr>
          <w:rFonts w:ascii="宋体" w:cs="宋体" w:hAnsi="宋体"/>
          <w:color w:val="000000"/>
        </w:rPr>
      </w:pPr>
      <w:r>
        <w:rPr>
          <w:rFonts w:ascii="宋体" w:cs="宋体" w:hAnsi="宋体"/>
          <w:color w:val="000000"/>
          <w:lang w:val="en-US"/>
        </w:rPr>
        <w:t>jawaban : tarjih, Nash yang qat'hi, ada Nash tapi ada perselisihannya</w:t>
      </w:r>
    </w:p>
    <w:p>
      <w:pPr>
        <w:pStyle w:val="style0"/>
        <w:spacing w:lineRule="auto" w:line="360"/>
        <w:jc w:val="both"/>
        <w:rPr>
          <w:rFonts w:ascii="宋体" w:cs="宋体" w:hAnsi="宋体"/>
          <w:color w:val="000000"/>
        </w:rPr>
      </w:pPr>
      <w:r>
        <w:rPr>
          <w:rFonts w:ascii="宋体" w:cs="宋体" w:hAnsi="宋体"/>
          <w:color w:val="000000"/>
        </w:rPr>
        <w:t>Skala Sikap</w:t>
      </w:r>
    </w:p>
    <w:p>
      <w:pPr>
        <w:pStyle w:val="style0"/>
        <w:pBdr>
          <w:left w:val="single" w:sz="4" w:space="4" w:color="auto"/>
          <w:right w:val="single" w:sz="4" w:space="4" w:color="auto"/>
          <w:top w:val="single" w:sz="4" w:space="1" w:color="auto"/>
          <w:bottom w:val="single" w:sz="4" w:space="1" w:color="auto"/>
        </w:pBdr>
        <w:spacing w:lineRule="auto" w:line="360"/>
        <w:jc w:val="both"/>
        <w:rPr>
          <w:rFonts w:ascii="宋体" w:cs="宋体" w:hAnsi="宋体"/>
          <w:color w:val="000000"/>
        </w:rPr>
      </w:pPr>
      <w:r>
        <w:rPr>
          <w:rFonts w:ascii="宋体" w:cs="宋体" w:hAnsi="宋体"/>
          <w:color w:val="000000"/>
        </w:rPr>
        <w:t>Pilihlah salah satu alternatif jawaban pada lembar pernyataan berikut ini yang sesuai dengan kebiasaan anda, dengan mencentang salah satu alternatif jawaban berikut ini.</w:t>
      </w:r>
    </w:p>
    <w:p>
      <w:pPr>
        <w:pStyle w:val="style0"/>
        <w:pBdr>
          <w:left w:val="single" w:sz="4" w:space="4" w:color="auto"/>
          <w:right w:val="single" w:sz="4" w:space="4" w:color="auto"/>
          <w:top w:val="single" w:sz="4" w:space="1" w:color="auto"/>
          <w:bottom w:val="single" w:sz="4" w:space="1" w:color="auto"/>
        </w:pBdr>
        <w:spacing w:lineRule="auto" w:line="360"/>
        <w:jc w:val="both"/>
        <w:rPr>
          <w:rFonts w:ascii="宋体" w:cs="宋体" w:hAnsi="宋体"/>
          <w:color w:val="000000"/>
        </w:rPr>
      </w:pPr>
      <w:r>
        <w:rPr>
          <w:rFonts w:ascii="宋体" w:cs="宋体" w:hAnsi="宋体"/>
          <w:color w:val="000000"/>
        </w:rPr>
        <w:t>SS :</w:t>
      </w:r>
      <w:r>
        <w:rPr>
          <w:rFonts w:ascii="宋体" w:cs="宋体" w:hAnsi="宋体"/>
          <w:color w:val="000000"/>
        </w:rPr>
        <w:t xml:space="preserve"> Sangat Sering</w:t>
      </w:r>
    </w:p>
    <w:p>
      <w:pPr>
        <w:pStyle w:val="style0"/>
        <w:pBdr>
          <w:left w:val="single" w:sz="4" w:space="4" w:color="auto"/>
          <w:right w:val="single" w:sz="4" w:space="4" w:color="auto"/>
          <w:top w:val="single" w:sz="4" w:space="1" w:color="auto"/>
          <w:bottom w:val="single" w:sz="4" w:space="1" w:color="auto"/>
        </w:pBdr>
        <w:spacing w:lineRule="auto" w:line="360"/>
        <w:jc w:val="both"/>
        <w:rPr>
          <w:rFonts w:ascii="宋体" w:cs="宋体" w:hAnsi="宋体"/>
          <w:color w:val="000000"/>
        </w:rPr>
      </w:pPr>
      <w:r>
        <w:rPr>
          <w:rFonts w:ascii="宋体" w:cs="宋体" w:hAnsi="宋体"/>
          <w:color w:val="000000"/>
        </w:rPr>
        <w:t>S   : Sering</w:t>
      </w:r>
    </w:p>
    <w:p>
      <w:pPr>
        <w:pStyle w:val="style0"/>
        <w:pBdr>
          <w:left w:val="single" w:sz="4" w:space="4" w:color="auto"/>
          <w:right w:val="single" w:sz="4" w:space="4" w:color="auto"/>
          <w:top w:val="single" w:sz="4" w:space="1" w:color="auto"/>
          <w:bottom w:val="single" w:sz="4" w:space="1" w:color="auto"/>
        </w:pBdr>
        <w:spacing w:lineRule="auto" w:line="360"/>
        <w:jc w:val="both"/>
        <w:rPr>
          <w:rFonts w:ascii="宋体" w:cs="宋体" w:hAnsi="宋体"/>
          <w:color w:val="000000"/>
        </w:rPr>
      </w:pPr>
      <w:r>
        <w:rPr>
          <w:rFonts w:ascii="宋体" w:cs="宋体" w:hAnsi="宋体"/>
          <w:color w:val="000000"/>
        </w:rPr>
        <w:t>KD: Kadang-kadang</w:t>
      </w:r>
    </w:p>
    <w:p>
      <w:pPr>
        <w:pStyle w:val="style0"/>
        <w:pBdr>
          <w:left w:val="single" w:sz="4" w:space="4" w:color="auto"/>
          <w:right w:val="single" w:sz="4" w:space="4" w:color="auto"/>
          <w:top w:val="single" w:sz="4" w:space="1" w:color="auto"/>
          <w:bottom w:val="single" w:sz="4" w:space="1" w:color="auto"/>
        </w:pBdr>
        <w:spacing w:lineRule="auto" w:line="360"/>
        <w:jc w:val="both"/>
        <w:rPr>
          <w:rFonts w:ascii="宋体" w:cs="宋体" w:hAnsi="宋体"/>
          <w:color w:val="000000"/>
        </w:rPr>
      </w:pPr>
      <w:r>
        <w:rPr>
          <w:rFonts w:ascii="宋体" w:cs="宋体" w:hAnsi="宋体"/>
          <w:color w:val="000000"/>
        </w:rPr>
        <w:t>TP :</w:t>
      </w:r>
      <w:r>
        <w:rPr>
          <w:rFonts w:ascii="宋体" w:cs="宋体" w:hAnsi="宋体"/>
          <w:color w:val="000000"/>
        </w:rPr>
        <w:t xml:space="preserve"> Tidak Pernah</w:t>
      </w:r>
    </w:p>
    <w:p>
      <w:pPr>
        <w:pStyle w:val="style0"/>
        <w:spacing w:lineRule="auto" w:line="360"/>
        <w:jc w:val="both"/>
        <w:rPr>
          <w:rFonts w:ascii="宋体" w:cs="宋体" w:hAnsi="宋体"/>
          <w:color w:val="000000"/>
        </w:rPr>
      </w:pPr>
    </w:p>
    <w:tbl>
      <w:tblPr>
        <w:tblStyle w:val="style154"/>
        <w:tblW w:w="0" w:type="auto"/>
        <w:tblLook w:val="04A0" w:firstRow="1" w:lastRow="0" w:firstColumn="1" w:lastColumn="0" w:noHBand="0" w:noVBand="1"/>
      </w:tblPr>
      <w:tblGrid>
        <w:gridCol w:w="523"/>
        <w:gridCol w:w="6160"/>
        <w:gridCol w:w="567"/>
        <w:gridCol w:w="567"/>
        <w:gridCol w:w="567"/>
        <w:gridCol w:w="651"/>
      </w:tblGrid>
      <w:tr>
        <w:trPr/>
        <w:tc>
          <w:tcPr>
            <w:tcW w:w="498" w:type="dxa"/>
            <w:tcBorders/>
          </w:tcPr>
          <w:p>
            <w:pPr>
              <w:pStyle w:val="style0"/>
              <w:spacing w:lineRule="auto" w:line="360"/>
              <w:jc w:val="both"/>
              <w:rPr>
                <w:rFonts w:ascii="宋体" w:cs="宋体" w:hAnsi="宋体"/>
                <w:color w:val="000000"/>
              </w:rPr>
            </w:pPr>
            <w:r>
              <w:rPr>
                <w:rFonts w:ascii="宋体" w:cs="宋体" w:hAnsi="宋体"/>
                <w:color w:val="000000"/>
              </w:rPr>
              <w:t>No</w:t>
            </w:r>
          </w:p>
        </w:tc>
        <w:tc>
          <w:tcPr>
            <w:tcW w:w="6160" w:type="dxa"/>
            <w:tcBorders/>
          </w:tcPr>
          <w:p>
            <w:pPr>
              <w:pStyle w:val="style0"/>
              <w:spacing w:lineRule="auto" w:line="360"/>
              <w:jc w:val="both"/>
              <w:rPr>
                <w:rFonts w:ascii="宋体" w:cs="宋体" w:hAnsi="宋体"/>
                <w:color w:val="000000"/>
              </w:rPr>
            </w:pPr>
            <w:r>
              <w:rPr>
                <w:rFonts w:ascii="宋体" w:cs="宋体" w:hAnsi="宋体"/>
                <w:color w:val="000000"/>
              </w:rPr>
              <w:t>Pernyataan</w:t>
            </w:r>
          </w:p>
        </w:tc>
        <w:tc>
          <w:tcPr>
            <w:tcW w:w="567" w:type="dxa"/>
            <w:tcBorders/>
          </w:tcPr>
          <w:p>
            <w:pPr>
              <w:pStyle w:val="style0"/>
              <w:spacing w:lineRule="auto" w:line="360"/>
              <w:jc w:val="both"/>
              <w:rPr>
                <w:rFonts w:ascii="宋体" w:cs="宋体" w:hAnsi="宋体"/>
                <w:color w:val="000000"/>
              </w:rPr>
            </w:pPr>
            <w:r>
              <w:rPr>
                <w:rFonts w:ascii="宋体" w:cs="宋体" w:hAnsi="宋体"/>
                <w:color w:val="000000"/>
              </w:rPr>
              <w:t>SS</w:t>
            </w:r>
          </w:p>
        </w:tc>
        <w:tc>
          <w:tcPr>
            <w:tcW w:w="567" w:type="dxa"/>
            <w:tcBorders/>
          </w:tcPr>
          <w:p>
            <w:pPr>
              <w:pStyle w:val="style0"/>
              <w:spacing w:lineRule="auto" w:line="360"/>
              <w:jc w:val="both"/>
              <w:rPr>
                <w:rFonts w:ascii="宋体" w:cs="宋体" w:hAnsi="宋体"/>
                <w:color w:val="000000"/>
              </w:rPr>
            </w:pPr>
            <w:r>
              <w:rPr>
                <w:rFonts w:ascii="宋体" w:cs="宋体" w:hAnsi="宋体"/>
                <w:color w:val="000000"/>
              </w:rPr>
              <w:t>S</w:t>
            </w:r>
          </w:p>
        </w:tc>
        <w:tc>
          <w:tcPr>
            <w:tcW w:w="567" w:type="dxa"/>
            <w:tcBorders/>
          </w:tcPr>
          <w:p>
            <w:pPr>
              <w:pStyle w:val="style0"/>
              <w:spacing w:lineRule="auto" w:line="360"/>
              <w:jc w:val="both"/>
              <w:rPr>
                <w:rFonts w:ascii="宋体" w:cs="宋体" w:hAnsi="宋体"/>
                <w:color w:val="000000"/>
              </w:rPr>
            </w:pPr>
            <w:r>
              <w:rPr>
                <w:rFonts w:ascii="宋体" w:cs="宋体" w:hAnsi="宋体"/>
                <w:color w:val="000000"/>
              </w:rPr>
              <w:t>KD</w:t>
            </w:r>
          </w:p>
        </w:tc>
        <w:tc>
          <w:tcPr>
            <w:tcW w:w="651" w:type="dxa"/>
            <w:tcBorders/>
          </w:tcPr>
          <w:p>
            <w:pPr>
              <w:pStyle w:val="style0"/>
              <w:spacing w:lineRule="auto" w:line="360"/>
              <w:jc w:val="both"/>
              <w:rPr>
                <w:rFonts w:ascii="宋体" w:cs="宋体" w:hAnsi="宋体"/>
                <w:color w:val="000000"/>
              </w:rPr>
            </w:pPr>
            <w:r>
              <w:rPr>
                <w:rFonts w:ascii="宋体" w:cs="宋体" w:hAnsi="宋体"/>
                <w:color w:val="000000"/>
              </w:rPr>
              <w:t>TP</w:t>
            </w:r>
          </w:p>
        </w:tc>
      </w:tr>
      <w:tr>
        <w:tblPrEx/>
        <w:trPr/>
        <w:tc>
          <w:tcPr>
            <w:tcW w:w="498" w:type="dxa"/>
            <w:tcBorders/>
          </w:tcPr>
          <w:p>
            <w:pPr>
              <w:pStyle w:val="style0"/>
              <w:spacing w:lineRule="auto" w:line="360"/>
              <w:jc w:val="both"/>
              <w:rPr>
                <w:rFonts w:ascii="宋体" w:cs="宋体" w:hAnsi="宋体"/>
                <w:color w:val="000000"/>
              </w:rPr>
            </w:pPr>
            <w:r>
              <w:rPr>
                <w:rFonts w:ascii="宋体" w:cs="宋体" w:hAnsi="宋体"/>
                <w:color w:val="000000"/>
              </w:rPr>
              <w:t>1</w:t>
            </w:r>
          </w:p>
        </w:tc>
        <w:tc>
          <w:tcPr>
            <w:tcW w:w="6160" w:type="dxa"/>
            <w:tcBorders/>
          </w:tcPr>
          <w:p>
            <w:pPr>
              <w:pStyle w:val="style0"/>
              <w:spacing w:lineRule="auto" w:line="360"/>
              <w:jc w:val="both"/>
              <w:rPr>
                <w:rFonts w:ascii="宋体" w:cs="宋体" w:hAnsi="宋体"/>
                <w:color w:val="000000"/>
              </w:rPr>
            </w:pPr>
            <w:r>
              <w:rPr>
                <w:rFonts w:ascii="宋体" w:cs="宋体" w:hAnsi="宋体"/>
                <w:color w:val="000000"/>
              </w:rPr>
              <w:t>Saya mengikuti Muhammadiyah karena ajarannya sangat rasional</w:t>
            </w:r>
          </w:p>
        </w:tc>
        <w:tc>
          <w:tcPr>
            <w:tcW w:w="567" w:type="dxa"/>
            <w:tcBorders/>
          </w:tcPr>
          <w:p>
            <w:pPr>
              <w:pStyle w:val="style0"/>
              <w:spacing w:lineRule="auto" w:line="360"/>
              <w:jc w:val="both"/>
              <w:rPr>
                <w:rFonts w:ascii="宋体" w:cs="宋体" w:hAnsi="宋体"/>
                <w:color w:val="000000"/>
              </w:rPr>
            </w:pPr>
            <w:r>
              <w:rPr>
                <w:rFonts w:cs="宋体" w:hAnsi="宋体"/>
                <w:color w:val="000000"/>
                <w:lang w:val="en-US"/>
              </w:rPr>
              <w:t>√</w:t>
            </w:r>
          </w:p>
        </w:tc>
        <w:tc>
          <w:tcPr>
            <w:tcW w:w="567" w:type="dxa"/>
            <w:tcBorders/>
          </w:tcPr>
          <w:p>
            <w:pPr>
              <w:pStyle w:val="style0"/>
              <w:spacing w:lineRule="auto" w:line="360"/>
              <w:jc w:val="both"/>
              <w:rPr>
                <w:rFonts w:ascii="宋体" w:cs="宋体" w:hAnsi="宋体"/>
                <w:color w:val="000000"/>
              </w:rPr>
            </w:pPr>
          </w:p>
        </w:tc>
        <w:tc>
          <w:tcPr>
            <w:tcW w:w="567" w:type="dxa"/>
            <w:tcBorders/>
          </w:tcPr>
          <w:p>
            <w:pPr>
              <w:pStyle w:val="style0"/>
              <w:spacing w:lineRule="auto" w:line="360"/>
              <w:jc w:val="both"/>
              <w:rPr>
                <w:rFonts w:ascii="宋体" w:cs="宋体" w:hAnsi="宋体"/>
                <w:color w:val="000000"/>
              </w:rPr>
            </w:pPr>
          </w:p>
        </w:tc>
        <w:tc>
          <w:tcPr>
            <w:tcW w:w="651" w:type="dxa"/>
            <w:tcBorders/>
          </w:tcPr>
          <w:p>
            <w:pPr>
              <w:pStyle w:val="style0"/>
              <w:spacing w:lineRule="auto" w:line="360"/>
              <w:jc w:val="both"/>
              <w:rPr>
                <w:rFonts w:ascii="宋体" w:cs="宋体" w:hAnsi="宋体"/>
                <w:color w:val="000000"/>
              </w:rPr>
            </w:pPr>
          </w:p>
        </w:tc>
      </w:tr>
      <w:tr>
        <w:tblPrEx/>
        <w:trPr/>
        <w:tc>
          <w:tcPr>
            <w:tcW w:w="498" w:type="dxa"/>
            <w:tcBorders/>
          </w:tcPr>
          <w:p>
            <w:pPr>
              <w:pStyle w:val="style0"/>
              <w:spacing w:lineRule="auto" w:line="360"/>
              <w:jc w:val="both"/>
              <w:rPr>
                <w:rFonts w:ascii="宋体" w:cs="宋体" w:hAnsi="宋体"/>
                <w:color w:val="000000"/>
              </w:rPr>
            </w:pPr>
            <w:r>
              <w:rPr>
                <w:rFonts w:ascii="宋体" w:cs="宋体" w:hAnsi="宋体"/>
                <w:color w:val="000000"/>
              </w:rPr>
              <w:t>2</w:t>
            </w:r>
          </w:p>
        </w:tc>
        <w:tc>
          <w:tcPr>
            <w:tcW w:w="6160" w:type="dxa"/>
            <w:tcBorders/>
          </w:tcPr>
          <w:p>
            <w:pPr>
              <w:pStyle w:val="style0"/>
              <w:spacing w:lineRule="auto" w:line="360"/>
              <w:jc w:val="both"/>
              <w:rPr>
                <w:rFonts w:ascii="宋体" w:cs="宋体" w:hAnsi="宋体"/>
                <w:color w:val="000000"/>
              </w:rPr>
            </w:pPr>
            <w:r>
              <w:rPr>
                <w:rFonts w:ascii="宋体" w:cs="宋体" w:hAnsi="宋体"/>
                <w:color w:val="000000"/>
              </w:rPr>
              <w:t>Saya masih mengikuti acara tahlilan untuk peringatan kematian seseorang di kampung saya.</w:t>
            </w:r>
          </w:p>
        </w:tc>
        <w:tc>
          <w:tcPr>
            <w:tcW w:w="567" w:type="dxa"/>
            <w:tcBorders/>
          </w:tcPr>
          <w:p>
            <w:pPr>
              <w:pStyle w:val="style0"/>
              <w:spacing w:lineRule="auto" w:line="360"/>
              <w:jc w:val="both"/>
              <w:rPr>
                <w:rFonts w:ascii="宋体" w:cs="宋体" w:hAnsi="宋体"/>
                <w:color w:val="000000"/>
              </w:rPr>
            </w:pPr>
          </w:p>
        </w:tc>
        <w:tc>
          <w:tcPr>
            <w:tcW w:w="567" w:type="dxa"/>
            <w:tcBorders/>
          </w:tcPr>
          <w:p>
            <w:pPr>
              <w:pStyle w:val="style0"/>
              <w:spacing w:lineRule="auto" w:line="360"/>
              <w:jc w:val="both"/>
              <w:rPr>
                <w:rFonts w:ascii="宋体" w:cs="宋体" w:hAnsi="宋体"/>
                <w:color w:val="000000"/>
              </w:rPr>
            </w:pPr>
            <w:r>
              <w:rPr>
                <w:rFonts w:cs="宋体" w:hAnsi="宋体"/>
                <w:color w:val="000000"/>
                <w:lang w:val="en-US"/>
              </w:rPr>
              <w:t>√</w:t>
            </w:r>
          </w:p>
        </w:tc>
        <w:tc>
          <w:tcPr>
            <w:tcW w:w="567" w:type="dxa"/>
            <w:tcBorders/>
          </w:tcPr>
          <w:p>
            <w:pPr>
              <w:pStyle w:val="style0"/>
              <w:spacing w:lineRule="auto" w:line="360"/>
              <w:jc w:val="both"/>
              <w:rPr>
                <w:rFonts w:ascii="宋体" w:cs="宋体" w:hAnsi="宋体"/>
                <w:color w:val="000000"/>
              </w:rPr>
            </w:pPr>
          </w:p>
        </w:tc>
        <w:tc>
          <w:tcPr>
            <w:tcW w:w="651" w:type="dxa"/>
            <w:tcBorders/>
          </w:tcPr>
          <w:p>
            <w:pPr>
              <w:pStyle w:val="style0"/>
              <w:spacing w:lineRule="auto" w:line="360"/>
              <w:jc w:val="both"/>
              <w:rPr>
                <w:rFonts w:ascii="宋体" w:cs="宋体" w:hAnsi="宋体"/>
                <w:color w:val="000000"/>
              </w:rPr>
            </w:pPr>
          </w:p>
        </w:tc>
      </w:tr>
      <w:tr>
        <w:tblPrEx/>
        <w:trPr/>
        <w:tc>
          <w:tcPr>
            <w:tcW w:w="498" w:type="dxa"/>
            <w:tcBorders/>
          </w:tcPr>
          <w:p>
            <w:pPr>
              <w:pStyle w:val="style0"/>
              <w:spacing w:lineRule="auto" w:line="360"/>
              <w:jc w:val="both"/>
              <w:rPr>
                <w:rFonts w:ascii="宋体" w:cs="宋体" w:hAnsi="宋体"/>
                <w:color w:val="000000"/>
              </w:rPr>
            </w:pPr>
            <w:r>
              <w:rPr>
                <w:rFonts w:ascii="宋体" w:cs="宋体" w:hAnsi="宋体"/>
                <w:color w:val="000000"/>
              </w:rPr>
              <w:t>3</w:t>
            </w:r>
          </w:p>
        </w:tc>
        <w:tc>
          <w:tcPr>
            <w:tcW w:w="6160" w:type="dxa"/>
            <w:tcBorders/>
          </w:tcPr>
          <w:p>
            <w:pPr>
              <w:pStyle w:val="style0"/>
              <w:spacing w:lineRule="auto" w:line="360"/>
              <w:jc w:val="both"/>
              <w:rPr>
                <w:rFonts w:ascii="宋体" w:cs="宋体" w:hAnsi="宋体"/>
                <w:color w:val="000000"/>
              </w:rPr>
            </w:pPr>
            <w:r>
              <w:rPr>
                <w:rFonts w:ascii="宋体" w:cs="宋体" w:hAnsi="宋体"/>
                <w:color w:val="000000"/>
              </w:rPr>
              <w:t>Meskipun imam sholat pakai qunut saya sebagai makmum tidak mengikutinya.</w:t>
            </w:r>
          </w:p>
        </w:tc>
        <w:tc>
          <w:tcPr>
            <w:tcW w:w="567" w:type="dxa"/>
            <w:tcBorders/>
          </w:tcPr>
          <w:p>
            <w:pPr>
              <w:pStyle w:val="style0"/>
              <w:spacing w:lineRule="auto" w:line="360"/>
              <w:jc w:val="both"/>
              <w:rPr>
                <w:rFonts w:ascii="宋体" w:cs="宋体" w:hAnsi="宋体"/>
                <w:color w:val="000000"/>
              </w:rPr>
            </w:pPr>
          </w:p>
        </w:tc>
        <w:tc>
          <w:tcPr>
            <w:tcW w:w="567" w:type="dxa"/>
            <w:tcBorders/>
          </w:tcPr>
          <w:p>
            <w:pPr>
              <w:pStyle w:val="style0"/>
              <w:spacing w:lineRule="auto" w:line="360"/>
              <w:jc w:val="both"/>
              <w:rPr>
                <w:rFonts w:ascii="宋体" w:cs="宋体" w:hAnsi="宋体"/>
                <w:color w:val="000000"/>
              </w:rPr>
            </w:pPr>
          </w:p>
        </w:tc>
        <w:tc>
          <w:tcPr>
            <w:tcW w:w="567" w:type="dxa"/>
            <w:tcBorders/>
          </w:tcPr>
          <w:p>
            <w:pPr>
              <w:pStyle w:val="style0"/>
              <w:spacing w:lineRule="auto" w:line="360"/>
              <w:jc w:val="both"/>
              <w:rPr>
                <w:rFonts w:ascii="宋体" w:cs="宋体" w:hAnsi="宋体"/>
                <w:color w:val="000000"/>
              </w:rPr>
            </w:pPr>
          </w:p>
        </w:tc>
        <w:tc>
          <w:tcPr>
            <w:tcW w:w="651" w:type="dxa"/>
            <w:tcBorders/>
          </w:tcPr>
          <w:p>
            <w:pPr>
              <w:pStyle w:val="style0"/>
              <w:spacing w:lineRule="auto" w:line="360"/>
              <w:jc w:val="both"/>
              <w:rPr>
                <w:rFonts w:ascii="宋体" w:cs="宋体" w:hAnsi="宋体"/>
                <w:color w:val="000000"/>
              </w:rPr>
            </w:pPr>
            <w:r>
              <w:rPr>
                <w:rFonts w:cs="宋体" w:hAnsi="宋体"/>
                <w:color w:val="000000"/>
                <w:lang w:val="en-US"/>
              </w:rPr>
              <w:t>√</w:t>
            </w:r>
          </w:p>
        </w:tc>
      </w:tr>
      <w:tr>
        <w:tblPrEx/>
        <w:trPr/>
        <w:tc>
          <w:tcPr>
            <w:tcW w:w="498" w:type="dxa"/>
            <w:tcBorders/>
          </w:tcPr>
          <w:p>
            <w:pPr>
              <w:pStyle w:val="style0"/>
              <w:spacing w:lineRule="auto" w:line="360"/>
              <w:jc w:val="both"/>
              <w:rPr>
                <w:rFonts w:ascii="宋体" w:cs="宋体" w:hAnsi="宋体"/>
                <w:color w:val="000000"/>
              </w:rPr>
            </w:pPr>
            <w:r>
              <w:rPr>
                <w:rFonts w:ascii="宋体" w:cs="宋体" w:hAnsi="宋体"/>
                <w:color w:val="000000"/>
              </w:rPr>
              <w:t>4</w:t>
            </w:r>
          </w:p>
        </w:tc>
        <w:tc>
          <w:tcPr>
            <w:tcW w:w="6160" w:type="dxa"/>
            <w:tcBorders/>
          </w:tcPr>
          <w:p>
            <w:pPr>
              <w:pStyle w:val="style0"/>
              <w:spacing w:lineRule="auto" w:line="360"/>
              <w:jc w:val="both"/>
              <w:rPr>
                <w:rFonts w:ascii="宋体" w:cs="宋体" w:hAnsi="宋体"/>
                <w:color w:val="000000"/>
              </w:rPr>
            </w:pPr>
            <w:r>
              <w:rPr>
                <w:rFonts w:ascii="宋体" w:cs="宋体" w:hAnsi="宋体"/>
                <w:color w:val="000000"/>
              </w:rPr>
              <w:t>Saat Haid saya tetap membaca al quran dan membaca doa</w:t>
            </w:r>
          </w:p>
        </w:tc>
        <w:tc>
          <w:tcPr>
            <w:tcW w:w="567" w:type="dxa"/>
            <w:tcBorders/>
          </w:tcPr>
          <w:p>
            <w:pPr>
              <w:pStyle w:val="style0"/>
              <w:spacing w:lineRule="auto" w:line="360"/>
              <w:jc w:val="both"/>
              <w:rPr>
                <w:rFonts w:ascii="宋体" w:cs="宋体" w:hAnsi="宋体"/>
                <w:color w:val="000000"/>
              </w:rPr>
            </w:pPr>
          </w:p>
        </w:tc>
        <w:tc>
          <w:tcPr>
            <w:tcW w:w="567" w:type="dxa"/>
            <w:tcBorders/>
          </w:tcPr>
          <w:p>
            <w:pPr>
              <w:pStyle w:val="style0"/>
              <w:spacing w:lineRule="auto" w:line="360"/>
              <w:jc w:val="both"/>
              <w:rPr>
                <w:rFonts w:ascii="宋体" w:cs="宋体" w:hAnsi="宋体"/>
                <w:color w:val="000000"/>
              </w:rPr>
            </w:pPr>
          </w:p>
        </w:tc>
        <w:tc>
          <w:tcPr>
            <w:tcW w:w="567" w:type="dxa"/>
            <w:tcBorders/>
          </w:tcPr>
          <w:p>
            <w:pPr>
              <w:pStyle w:val="style0"/>
              <w:spacing w:lineRule="auto" w:line="360"/>
              <w:jc w:val="both"/>
              <w:rPr>
                <w:rFonts w:ascii="宋体" w:cs="宋体" w:hAnsi="宋体"/>
                <w:color w:val="000000"/>
              </w:rPr>
            </w:pPr>
          </w:p>
        </w:tc>
        <w:tc>
          <w:tcPr>
            <w:tcW w:w="651" w:type="dxa"/>
            <w:tcBorders/>
          </w:tcPr>
          <w:p>
            <w:pPr>
              <w:pStyle w:val="style0"/>
              <w:spacing w:lineRule="auto" w:line="360"/>
              <w:jc w:val="both"/>
              <w:rPr>
                <w:rFonts w:ascii="宋体" w:cs="宋体" w:hAnsi="宋体"/>
                <w:color w:val="000000"/>
              </w:rPr>
            </w:pPr>
            <w:r>
              <w:rPr>
                <w:rFonts w:cs="宋体" w:hAnsi="宋体"/>
                <w:color w:val="000000"/>
                <w:lang w:val="en-US"/>
              </w:rPr>
              <w:t>√</w:t>
            </w:r>
          </w:p>
        </w:tc>
      </w:tr>
      <w:tr>
        <w:tblPrEx/>
        <w:trPr/>
        <w:tc>
          <w:tcPr>
            <w:tcW w:w="498" w:type="dxa"/>
            <w:tcBorders/>
          </w:tcPr>
          <w:p>
            <w:pPr>
              <w:pStyle w:val="style0"/>
              <w:spacing w:lineRule="auto" w:line="360"/>
              <w:jc w:val="both"/>
              <w:rPr>
                <w:rFonts w:ascii="宋体" w:cs="宋体" w:hAnsi="宋体"/>
                <w:color w:val="000000"/>
              </w:rPr>
            </w:pPr>
            <w:r>
              <w:rPr>
                <w:rFonts w:ascii="宋体" w:cs="宋体" w:hAnsi="宋体"/>
                <w:color w:val="000000"/>
              </w:rPr>
              <w:t>5</w:t>
            </w:r>
          </w:p>
        </w:tc>
        <w:tc>
          <w:tcPr>
            <w:tcW w:w="6160" w:type="dxa"/>
            <w:tcBorders/>
          </w:tcPr>
          <w:p>
            <w:pPr>
              <w:pStyle w:val="style0"/>
              <w:spacing w:lineRule="auto" w:line="360"/>
              <w:jc w:val="both"/>
              <w:rPr>
                <w:rFonts w:ascii="宋体" w:cs="宋体" w:hAnsi="宋体"/>
                <w:color w:val="000000"/>
              </w:rPr>
            </w:pPr>
            <w:r>
              <w:rPr>
                <w:rFonts w:ascii="宋体" w:cs="宋体" w:hAnsi="宋体"/>
                <w:color w:val="000000"/>
              </w:rPr>
              <w:t xml:space="preserve">Saya biasa bergaul dengan teman teman dari </w:t>
            </w:r>
            <w:r>
              <w:rPr>
                <w:rFonts w:ascii="宋体" w:cs="宋体" w:hAnsi="宋体"/>
                <w:color w:val="000000"/>
              </w:rPr>
              <w:t>NU</w:t>
            </w:r>
          </w:p>
        </w:tc>
        <w:tc>
          <w:tcPr>
            <w:tcW w:w="567" w:type="dxa"/>
            <w:tcBorders/>
          </w:tcPr>
          <w:p>
            <w:pPr>
              <w:pStyle w:val="style0"/>
              <w:spacing w:lineRule="auto" w:line="360"/>
              <w:jc w:val="both"/>
              <w:rPr>
                <w:rFonts w:ascii="宋体" w:cs="宋体" w:hAnsi="宋体"/>
                <w:color w:val="000000"/>
              </w:rPr>
            </w:pPr>
            <w:r>
              <w:rPr>
                <w:rFonts w:cs="宋体" w:hAnsi="宋体"/>
                <w:color w:val="000000"/>
                <w:lang w:val="en-US"/>
              </w:rPr>
              <w:t>√</w:t>
            </w:r>
          </w:p>
        </w:tc>
        <w:tc>
          <w:tcPr>
            <w:tcW w:w="567" w:type="dxa"/>
            <w:tcBorders/>
          </w:tcPr>
          <w:p>
            <w:pPr>
              <w:pStyle w:val="style0"/>
              <w:spacing w:lineRule="auto" w:line="360"/>
              <w:jc w:val="both"/>
              <w:rPr>
                <w:rFonts w:ascii="宋体" w:cs="宋体" w:hAnsi="宋体"/>
                <w:color w:val="000000"/>
              </w:rPr>
            </w:pPr>
          </w:p>
        </w:tc>
        <w:tc>
          <w:tcPr>
            <w:tcW w:w="567" w:type="dxa"/>
            <w:tcBorders/>
          </w:tcPr>
          <w:p>
            <w:pPr>
              <w:pStyle w:val="style0"/>
              <w:spacing w:lineRule="auto" w:line="360"/>
              <w:jc w:val="both"/>
              <w:rPr>
                <w:rFonts w:ascii="宋体" w:cs="宋体" w:hAnsi="宋体"/>
                <w:color w:val="000000"/>
              </w:rPr>
            </w:pPr>
          </w:p>
        </w:tc>
        <w:tc>
          <w:tcPr>
            <w:tcW w:w="651" w:type="dxa"/>
            <w:tcBorders/>
          </w:tcPr>
          <w:p>
            <w:pPr>
              <w:pStyle w:val="style0"/>
              <w:spacing w:lineRule="auto" w:line="360"/>
              <w:jc w:val="both"/>
              <w:rPr>
                <w:rFonts w:ascii="宋体" w:cs="宋体" w:hAnsi="宋体"/>
                <w:color w:val="000000"/>
              </w:rPr>
            </w:pPr>
          </w:p>
        </w:tc>
      </w:tr>
    </w:tbl>
    <w:p>
      <w:pPr>
        <w:pStyle w:val="style0"/>
        <w:spacing w:lineRule="auto" w:line="360"/>
        <w:jc w:val="both"/>
        <w:rPr>
          <w:rFonts w:ascii="宋体" w:cs="宋体" w:hAnsi="宋体"/>
          <w:color w:val="000000"/>
        </w:rPr>
      </w:pPr>
    </w:p>
    <w:p>
      <w:pPr>
        <w:pStyle w:val="style0"/>
        <w:spacing w:lineRule="auto" w:line="360"/>
        <w:jc w:val="both"/>
        <w:rPr>
          <w:rFonts w:ascii="宋体" w:cs="宋体" w:hAnsi="宋体"/>
          <w:color w:val="000000"/>
        </w:rPr>
      </w:pPr>
    </w:p>
    <w:p>
      <w:pPr>
        <w:pStyle w:val="style0"/>
        <w:spacing w:lineRule="auto" w:line="360"/>
        <w:jc w:val="both"/>
        <w:rPr>
          <w:rFonts w:ascii="宋体" w:cs="宋体" w:hAnsi="宋体"/>
          <w:color w:val="000000"/>
        </w:rPr>
      </w:pPr>
    </w:p>
    <w:sectPr>
      <w:pgSz w:w="11900" w:h="16840" w:orient="portrait"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libri Light">
    <w:altName w:val="Times New Roman"/>
    <w:panose1 w:val="00000000000000000000"/>
    <w:charset w:val="00"/>
    <w:family w:val="swiss"/>
    <w:pitch w:val="default"/>
    <w:sig w:usb0="00000000" w:usb1="C000247B" w:usb2="00000009" w:usb3="00000000" w:csb0="200001F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D425E7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2"/>
    <w:multiLevelType w:val="multilevel"/>
    <w:tmpl w:val="BAFA87F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8F88BE3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2022240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2F9CDB8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78DC11A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4216C9B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9514AC0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4BB250D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D972836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023C25B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multilevel"/>
    <w:tmpl w:val="0A5CBDA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19D419D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multilevel"/>
    <w:tmpl w:val="9CA4AF3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A0F8BDB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0"/>
  </w:num>
  <w:num w:numId="2">
    <w:abstractNumId w:val="7"/>
  </w:num>
  <w:num w:numId="3">
    <w:abstractNumId w:val="2"/>
  </w:num>
  <w:num w:numId="4">
    <w:abstractNumId w:val="9"/>
  </w:num>
  <w:num w:numId="5">
    <w:abstractNumId w:val="6"/>
  </w:num>
  <w:num w:numId="6">
    <w:abstractNumId w:val="12"/>
  </w:num>
  <w:num w:numId="7">
    <w:abstractNumId w:val="15"/>
  </w:num>
  <w:num w:numId="8">
    <w:abstractNumId w:val="4"/>
  </w:num>
  <w:num w:numId="9">
    <w:abstractNumId w:val="8"/>
  </w:num>
  <w:num w:numId="10">
    <w:abstractNumId w:val="11"/>
  </w:num>
  <w:num w:numId="11">
    <w:abstractNumId w:val="1"/>
  </w:num>
  <w:num w:numId="12">
    <w:abstractNumId w:val="13"/>
  </w:num>
  <w:num w:numId="13">
    <w:abstractNumId w:val="5"/>
  </w:num>
  <w:num w:numId="14">
    <w:abstractNumId w:val="14"/>
  </w:num>
  <w:num w:numId="15">
    <w:abstractNumId w:val="3"/>
  </w:num>
  <w:num w:numId="16">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7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GB" w:bidi="ar-SA" w:eastAsia="en-US"/>
      </w:rPr>
    </w:rPrDefault>
    <w:pPrDefault>
      <w:pPr/>
    </w:pPrDefault>
  </w:docDefaults>
  <w:style w:type="paragraph" w:default="1" w:styleId="style0">
    <w:name w:val="Normal"/>
    <w:next w:val="style0"/>
    <w:qFormat/>
    <w:pPr/>
  </w:style>
  <w:style w:type="paragraph" w:styleId="style1">
    <w:name w:val="heading 1"/>
    <w:basedOn w:val="style0"/>
    <w:next w:val="style1"/>
    <w:link w:val="style4097"/>
    <w:qFormat/>
    <w:uiPriority w:val="9"/>
    <w:pPr>
      <w:spacing w:before="100" w:beforeAutospacing="true" w:after="100" w:afterAutospacing="true"/>
      <w:outlineLvl w:val="0"/>
    </w:pPr>
    <w:rPr>
      <w:rFonts w:ascii="Times New Roman" w:cs="Times New Roman" w:eastAsia="Times New Roman" w:hAnsi="Times New Roman"/>
      <w:b/>
      <w:bCs/>
      <w:kern w:val="36"/>
      <w:sz w:val="48"/>
      <w:szCs w:val="48"/>
      <w:lang w:val="en-ID" w:eastAsia="en-GB"/>
    </w:rPr>
  </w:style>
  <w:style w:type="paragraph" w:styleId="style2">
    <w:name w:val="heading 2"/>
    <w:basedOn w:val="style0"/>
    <w:next w:val="style0"/>
    <w:link w:val="style4099"/>
    <w:qFormat/>
    <w:uiPriority w:val="9"/>
    <w:pPr>
      <w:keepNext/>
      <w:keepLines/>
      <w:spacing w:before="40"/>
      <w:outlineLvl w:val="1"/>
    </w:pPr>
    <w:rPr>
      <w:rFonts w:ascii="Calibri Light" w:cs="宋体" w:eastAsia="宋体" w:hAnsi="Calibri Light"/>
      <w:color w:val="2f5496"/>
      <w:sz w:val="26"/>
      <w:szCs w:val="26"/>
    </w:rPr>
  </w:style>
  <w:style w:type="paragraph" w:styleId="style3">
    <w:name w:val="heading 3"/>
    <w:basedOn w:val="style0"/>
    <w:next w:val="style0"/>
    <w:link w:val="style4100"/>
    <w:qFormat/>
    <w:uiPriority w:val="9"/>
    <w:pPr>
      <w:keepNext/>
      <w:keepLines/>
      <w:spacing w:before="40"/>
      <w:outlineLvl w:val="2"/>
    </w:pPr>
    <w:rPr>
      <w:rFonts w:ascii="Calibri Light" w:cs="宋体" w:eastAsia="宋体" w:hAnsi="Calibri Light"/>
      <w:color w:val="1f3763"/>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b7d60ea9-7270-479d-ad26-d6fa5ba7a3a3"/>
    <w:basedOn w:val="style65"/>
    <w:next w:val="style4097"/>
    <w:link w:val="style1"/>
    <w:uiPriority w:val="9"/>
    <w:rPr>
      <w:rFonts w:ascii="Times New Roman" w:cs="Times New Roman" w:eastAsia="Times New Roman" w:hAnsi="Times New Roman"/>
      <w:b/>
      <w:bCs/>
      <w:kern w:val="36"/>
      <w:sz w:val="48"/>
      <w:szCs w:val="48"/>
      <w:lang w:val="en-ID" w:eastAsia="en-GB"/>
    </w:rPr>
  </w:style>
  <w:style w:type="character" w:styleId="style85">
    <w:name w:val="Hyperlink"/>
    <w:basedOn w:val="style65"/>
    <w:next w:val="style85"/>
    <w:uiPriority w:val="99"/>
    <w:rPr>
      <w:color w:val="0000ff"/>
      <w:u w:val="single"/>
    </w:rPr>
  </w:style>
  <w:style w:type="character" w:customStyle="1" w:styleId="style4098">
    <w:name w:val="count-item"/>
    <w:basedOn w:val="style65"/>
    <w:next w:val="style4098"/>
  </w:style>
  <w:style w:type="character" w:customStyle="1" w:styleId="style4099">
    <w:name w:val="Heading 2 Char_4564c6b0-360e-4263-9099-b56d1cc1631d"/>
    <w:basedOn w:val="style65"/>
    <w:next w:val="style4099"/>
    <w:link w:val="style2"/>
    <w:uiPriority w:val="9"/>
    <w:rPr>
      <w:rFonts w:ascii="Calibri Light" w:cs="宋体" w:eastAsia="宋体" w:hAnsi="Calibri Light"/>
      <w:color w:val="2f5496"/>
      <w:sz w:val="26"/>
      <w:szCs w:val="26"/>
    </w:rPr>
  </w:style>
  <w:style w:type="character" w:customStyle="1" w:styleId="style4100">
    <w:name w:val="Heading 3 Char_64090d04-d1c4-4cb1-8482-d9e9ebe69b49"/>
    <w:basedOn w:val="style65"/>
    <w:next w:val="style4100"/>
    <w:link w:val="style3"/>
    <w:uiPriority w:val="9"/>
    <w:rPr>
      <w:rFonts w:ascii="Calibri Light" w:cs="宋体" w:eastAsia="宋体" w:hAnsi="Calibri Light"/>
      <w:color w:val="1f3763"/>
    </w:rPr>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lang w:val="en-ID" w:eastAsia="en-GB"/>
    </w:rPr>
  </w:style>
  <w:style w:type="character" w:styleId="style88">
    <w:name w:val="Emphasis"/>
    <w:basedOn w:val="style65"/>
    <w:next w:val="style88"/>
    <w:qFormat/>
    <w:uiPriority w:val="20"/>
    <w:rPr>
      <w:i/>
      <w:iCs/>
    </w:rPr>
  </w:style>
  <w:style w:type="paragraph" w:customStyle="1" w:styleId="style4101">
    <w:name w:val="share-twitter"/>
    <w:basedOn w:val="style0"/>
    <w:next w:val="style4101"/>
    <w:pPr>
      <w:spacing w:before="100" w:beforeAutospacing="true" w:after="100" w:afterAutospacing="true"/>
    </w:pPr>
    <w:rPr>
      <w:rFonts w:ascii="Times New Roman" w:cs="Times New Roman" w:eastAsia="Times New Roman" w:hAnsi="Times New Roman"/>
      <w:lang w:val="en-ID" w:eastAsia="en-GB"/>
    </w:rPr>
  </w:style>
  <w:style w:type="paragraph" w:customStyle="1" w:styleId="style4102">
    <w:name w:val="share-facebook"/>
    <w:basedOn w:val="style0"/>
    <w:next w:val="style4102"/>
    <w:pPr>
      <w:spacing w:before="100" w:beforeAutospacing="true" w:after="100" w:afterAutospacing="true"/>
    </w:pPr>
    <w:rPr>
      <w:rFonts w:ascii="Times New Roman" w:cs="Times New Roman" w:eastAsia="Times New Roman" w:hAnsi="Times New Roman"/>
      <w:lang w:val="en-ID" w:eastAsia="en-GB"/>
    </w:rPr>
  </w:style>
  <w:style w:type="paragraph" w:customStyle="1" w:styleId="style4103">
    <w:name w:val="share-end"/>
    <w:basedOn w:val="style0"/>
    <w:next w:val="style4103"/>
    <w:pPr>
      <w:spacing w:before="100" w:beforeAutospacing="true" w:after="100" w:afterAutospacing="true"/>
    </w:pPr>
    <w:rPr>
      <w:rFonts w:ascii="Times New Roman" w:cs="Times New Roman" w:eastAsia="Times New Roman" w:hAnsi="Times New Roman"/>
      <w:lang w:val="en-ID" w:eastAsia="en-GB"/>
    </w:rPr>
  </w:style>
  <w:style w:type="paragraph" w:styleId="style92">
    <w:name w:val="HTML Top of Form"/>
    <w:basedOn w:val="style0"/>
    <w:next w:val="style0"/>
    <w:link w:val="style4104"/>
    <w:uiPriority w:val="99"/>
    <w:pPr>
      <w:pBdr>
        <w:bottom w:val="single" w:sz="6" w:space="1" w:color="auto"/>
      </w:pBdr>
      <w:jc w:val="center"/>
    </w:pPr>
    <w:rPr>
      <w:rFonts w:ascii="Arial" w:cs="Arial" w:eastAsia="Times New Roman" w:hAnsi="Arial"/>
      <w:vanish/>
      <w:sz w:val="16"/>
      <w:szCs w:val="16"/>
      <w:lang w:val="en-ID" w:eastAsia="en-GB"/>
    </w:rPr>
  </w:style>
  <w:style w:type="character" w:customStyle="1" w:styleId="style4104">
    <w:name w:val="z-Top of Form Char"/>
    <w:basedOn w:val="style65"/>
    <w:next w:val="style4104"/>
    <w:link w:val="style92"/>
    <w:uiPriority w:val="99"/>
    <w:rPr>
      <w:rFonts w:ascii="Arial" w:cs="Arial" w:eastAsia="Times New Roman" w:hAnsi="Arial"/>
      <w:vanish/>
      <w:sz w:val="16"/>
      <w:szCs w:val="16"/>
      <w:lang w:val="en-ID" w:eastAsia="en-GB"/>
    </w:rPr>
  </w:style>
  <w:style w:type="paragraph" w:styleId="style93">
    <w:name w:val="HTML Bottom of Form"/>
    <w:basedOn w:val="style0"/>
    <w:next w:val="style0"/>
    <w:link w:val="style4105"/>
    <w:uiPriority w:val="99"/>
    <w:pPr>
      <w:pBdr>
        <w:top w:val="single" w:sz="6" w:space="1" w:color="auto"/>
      </w:pBdr>
      <w:jc w:val="center"/>
    </w:pPr>
    <w:rPr>
      <w:rFonts w:ascii="Arial" w:cs="Arial" w:eastAsia="Times New Roman" w:hAnsi="Arial"/>
      <w:vanish/>
      <w:sz w:val="16"/>
      <w:szCs w:val="16"/>
      <w:lang w:val="en-ID" w:eastAsia="en-GB"/>
    </w:rPr>
  </w:style>
  <w:style w:type="character" w:customStyle="1" w:styleId="style4105">
    <w:name w:val="z-Bottom of Form Char"/>
    <w:basedOn w:val="style65"/>
    <w:next w:val="style4105"/>
    <w:link w:val="style93"/>
    <w:uiPriority w:val="99"/>
    <w:rPr>
      <w:rFonts w:ascii="Arial" w:cs="Arial" w:eastAsia="Times New Roman" w:hAnsi="Arial"/>
      <w:vanish/>
      <w:sz w:val="16"/>
      <w:szCs w:val="16"/>
      <w:lang w:val="en-ID" w:eastAsia="en-GB"/>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B170-79D0-4CA4-BF01-A7F17F48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4434</Words>
  <Pages>14</Pages>
  <Characters>29825</Characters>
  <Application>WPS Office</Application>
  <DocSecurity>0</DocSecurity>
  <Paragraphs>157</Paragraphs>
  <ScaleCrop>false</ScaleCrop>
  <LinksUpToDate>false</LinksUpToDate>
  <CharactersWithSpaces>34182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2020-08-13T09:59:00Z</dcterms:created>
  <dc:creator>akif khilmiyah</dc:creator>
  <lastModifiedBy>A1601</lastModifiedBy>
  <dcterms:modified xsi:type="dcterms:W3CDTF">2020-08-31T06:26:48Z</dcterms:modified>
  <revision>2</revision>
</coreProperties>
</file>

<file path=docProps/custom.xml><?xml version="1.0" encoding="utf-8"?>
<Properties xmlns="http://schemas.openxmlformats.org/officeDocument/2006/custom-properties" xmlns:vt="http://schemas.openxmlformats.org/officeDocument/2006/docPropsVTypes"/>
</file>